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A0B05">
      <w:pPr>
        <w:ind w:left="960" w:hanging="960" w:hangingChars="300"/>
        <w:rPr>
          <w:rFonts w:ascii="方正黑体_GBK" w:hAnsi="方正黑体_GBK" w:eastAsia="方正黑体_GBK" w:cs="方正黑体_GBK"/>
          <w:kern w:val="0"/>
          <w:sz w:val="32"/>
          <w:szCs w:val="32"/>
        </w:rPr>
      </w:pPr>
      <w:bookmarkStart w:id="7" w:name="_GoBack"/>
      <w:bookmarkEnd w:id="7"/>
      <w:r>
        <w:rPr>
          <w:rFonts w:hint="eastAsia" w:ascii="方正黑体_GBK" w:hAnsi="方正黑体_GBK" w:eastAsia="方正黑体_GBK" w:cs="方正黑体_GBK"/>
          <w:kern w:val="0"/>
          <w:sz w:val="32"/>
          <w:szCs w:val="32"/>
        </w:rPr>
        <w:t>附件2</w:t>
      </w:r>
    </w:p>
    <w:p w14:paraId="73B13480">
      <w:pPr>
        <w:ind w:left="1320" w:hanging="1320" w:hangingChars="3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“科技馆之城”公共服务展教示范项目</w:t>
      </w:r>
    </w:p>
    <w:p w14:paraId="72D5645C">
      <w:pPr>
        <w:ind w:left="1320" w:hanging="1320" w:hangingChars="3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支持计划资金管理办法</w:t>
      </w:r>
    </w:p>
    <w:p w14:paraId="19845B9E">
      <w:pPr>
        <w:pStyle w:val="5"/>
        <w:ind w:firstLine="0" w:firstLineChars="0"/>
        <w:jc w:val="center"/>
        <w:rPr>
          <w:rFonts w:hint="eastAsia" w:eastAsia="方正小标宋简体"/>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2025年版</w:t>
      </w:r>
      <w:r>
        <w:rPr>
          <w:rFonts w:hint="eastAsia" w:ascii="方正小标宋简体" w:hAnsi="方正小标宋简体" w:eastAsia="方正小标宋简体" w:cs="方正小标宋简体"/>
          <w:sz w:val="44"/>
          <w:szCs w:val="44"/>
          <w:lang w:eastAsia="zh-CN"/>
        </w:rPr>
        <w:t>）</w:t>
      </w:r>
    </w:p>
    <w:p w14:paraId="7AB6D553">
      <w:pPr>
        <w:pStyle w:val="2"/>
      </w:pPr>
    </w:p>
    <w:p w14:paraId="40D9691B">
      <w:pPr>
        <w:widowControl/>
        <w:shd w:val="clear" w:color="auto" w:fill="FFFFFF"/>
        <w:ind w:firstLine="0" w:firstLineChars="0"/>
        <w:jc w:val="center"/>
        <w:rPr>
          <w:rFonts w:ascii="黑体" w:hAnsi="黑体" w:eastAsia="黑体" w:cs="仿宋"/>
          <w:sz w:val="32"/>
          <w:szCs w:val="32"/>
        </w:rPr>
      </w:pPr>
      <w:r>
        <w:rPr>
          <w:rFonts w:hint="eastAsia" w:ascii="黑体" w:hAnsi="黑体" w:eastAsia="黑体" w:cs="仿宋"/>
          <w:sz w:val="32"/>
          <w:szCs w:val="32"/>
        </w:rPr>
        <w:t>第一章　总则</w:t>
      </w:r>
    </w:p>
    <w:p w14:paraId="23EE7209">
      <w:pPr>
        <w:widowControl/>
        <w:shd w:val="clear" w:color="auto" w:fill="FFFFFF"/>
        <w:ind w:firstLine="643"/>
        <w:rPr>
          <w:rFonts w:ascii="仿宋_GB2312" w:hAnsi="仿宋" w:eastAsia="仿宋_GB2312" w:cs="仿宋"/>
          <w:color w:val="000000"/>
          <w:sz w:val="32"/>
          <w:szCs w:val="32"/>
        </w:rPr>
      </w:pPr>
      <w:r>
        <w:rPr>
          <w:rFonts w:hint="eastAsia" w:ascii="仿宋_GB2312" w:hAnsi="仿宋" w:eastAsia="仿宋_GB2312" w:cs="仿宋"/>
          <w:b/>
          <w:bCs/>
          <w:sz w:val="32"/>
          <w:szCs w:val="32"/>
        </w:rPr>
        <w:t>第一条</w:t>
      </w:r>
      <w:r>
        <w:rPr>
          <w:rFonts w:ascii="仿宋_GB2312" w:hAnsi="仿宋" w:eastAsia="仿宋_GB2312" w:cs="仿宋"/>
          <w:b/>
          <w:bCs/>
          <w:sz w:val="32"/>
          <w:szCs w:val="32"/>
        </w:rPr>
        <w:t xml:space="preserve"> </w:t>
      </w:r>
      <w:r>
        <w:rPr>
          <w:rFonts w:hint="eastAsia" w:ascii="仿宋_GB2312" w:hAnsi="仿宋" w:eastAsia="仿宋_GB2312" w:cs="仿宋"/>
          <w:sz w:val="32"/>
          <w:szCs w:val="32"/>
        </w:rPr>
        <w:t>为</w:t>
      </w:r>
      <w:r>
        <w:rPr>
          <w:rFonts w:hint="eastAsia" w:ascii="仿宋_GB2312" w:hAnsi="仿宋" w:eastAsia="仿宋_GB2312" w:cs="仿宋"/>
          <w:sz w:val="32"/>
          <w:szCs w:val="32"/>
          <w:lang w:val="en-US" w:eastAsia="zh-CN"/>
        </w:rPr>
        <w:t>贯彻落实</w:t>
      </w:r>
      <w:r>
        <w:rPr>
          <w:rFonts w:hint="eastAsia" w:ascii="仿宋_GB2312" w:hAnsi="仿宋" w:eastAsia="仿宋_GB2312" w:cs="仿宋"/>
          <w:sz w:val="32"/>
          <w:szCs w:val="32"/>
        </w:rPr>
        <w:t>新修</w:t>
      </w:r>
      <w:r>
        <w:rPr>
          <w:rFonts w:hint="eastAsia" w:ascii="仿宋_GB2312" w:hAnsi="仿宋" w:eastAsia="仿宋_GB2312" w:cs="仿宋"/>
          <w:sz w:val="32"/>
          <w:szCs w:val="32"/>
          <w:lang w:eastAsia="zh-CN"/>
        </w:rPr>
        <w:t>订的</w:t>
      </w:r>
      <w:r>
        <w:rPr>
          <w:rFonts w:hint="eastAsia" w:ascii="仿宋_GB2312" w:hAnsi="仿宋" w:eastAsia="仿宋_GB2312" w:cs="仿宋"/>
          <w:sz w:val="32"/>
          <w:szCs w:val="32"/>
        </w:rPr>
        <w:t>《中华人民共和国科学技术普及法》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中共中央办公厅、国务院办公厅《关于新时代进一步加强科学技术普及工作的意见》文件精神，支持社会多元主体参与科技馆之城建设、积极推动科技资源科普化、鼓励科技工作者投身科普工作，壮大科普人才队伍，以高质量的科普发展服务北京国际科技创新中心建设。</w:t>
      </w:r>
      <w:r>
        <w:rPr>
          <w:rFonts w:hint="eastAsia" w:ascii="仿宋_GB2312" w:hAnsi="仿宋" w:eastAsia="仿宋_GB2312" w:cs="仿宋"/>
          <w:color w:val="000000"/>
          <w:sz w:val="32"/>
          <w:szCs w:val="32"/>
        </w:rPr>
        <w:t>根据国家财政管理相关文件精神，结合我市预算管理有关规定，特制定本办法。</w:t>
      </w:r>
    </w:p>
    <w:p w14:paraId="549A78F4">
      <w:pPr>
        <w:pStyle w:val="12"/>
        <w:spacing w:before="0" w:beforeAutospacing="0" w:after="0" w:afterAutospacing="0"/>
        <w:ind w:firstLine="643"/>
        <w:jc w:val="both"/>
        <w:rPr>
          <w:rFonts w:ascii="仿宋_GB2312" w:hAnsi="微软雅黑" w:eastAsia="仿宋_GB2312" w:cs="宋体"/>
          <w:color w:val="000000"/>
          <w:sz w:val="32"/>
          <w:szCs w:val="32"/>
        </w:rPr>
      </w:pPr>
      <w:r>
        <w:rPr>
          <w:rFonts w:hint="eastAsia" w:ascii="仿宋_GB2312" w:hAnsi="仿宋" w:eastAsia="仿宋_GB2312" w:cs="仿宋"/>
          <w:b/>
          <w:bCs/>
          <w:kern w:val="2"/>
          <w:sz w:val="32"/>
          <w:szCs w:val="32"/>
        </w:rPr>
        <w:t xml:space="preserve">第二条 </w:t>
      </w:r>
      <w:r>
        <w:rPr>
          <w:rFonts w:hint="eastAsia" w:ascii="仿宋_GB2312" w:hAnsi="仿宋" w:eastAsia="仿宋_GB2312" w:cs="仿宋"/>
          <w:kern w:val="2"/>
          <w:sz w:val="32"/>
          <w:szCs w:val="32"/>
        </w:rPr>
        <w:t>资金按照“支持公益、</w:t>
      </w:r>
      <w:r>
        <w:rPr>
          <w:rFonts w:hint="eastAsia" w:ascii="仿宋_GB2312" w:hAnsi="仿宋" w:eastAsia="仿宋_GB2312" w:cs="仿宋"/>
          <w:sz w:val="32"/>
          <w:szCs w:val="32"/>
        </w:rPr>
        <w:t>示范引领</w:t>
      </w:r>
      <w:r>
        <w:rPr>
          <w:rFonts w:hint="eastAsia" w:ascii="仿宋_GB2312" w:hAnsi="仿宋" w:eastAsia="仿宋_GB2312" w:cs="仿宋"/>
          <w:kern w:val="2"/>
          <w:sz w:val="32"/>
          <w:szCs w:val="32"/>
        </w:rPr>
        <w:t>、分类支持、择优支持”的原则进行</w:t>
      </w:r>
      <w:r>
        <w:rPr>
          <w:rFonts w:hint="eastAsia" w:ascii="仿宋_GB2312" w:hAnsi="仿宋" w:eastAsia="仿宋_GB2312" w:cs="仿宋"/>
          <w:sz w:val="32"/>
          <w:szCs w:val="32"/>
        </w:rPr>
        <w:t>管理</w:t>
      </w:r>
      <w:r>
        <w:rPr>
          <w:rFonts w:hint="eastAsia" w:ascii="仿宋_GB2312" w:hAnsi="仿宋" w:eastAsia="仿宋_GB2312" w:cs="仿宋"/>
          <w:kern w:val="2"/>
          <w:sz w:val="32"/>
          <w:szCs w:val="32"/>
        </w:rPr>
        <w:t>， 使用时要突出重点、专款专用、讲求实效。</w:t>
      </w:r>
    </w:p>
    <w:p w14:paraId="0900159C">
      <w:pPr>
        <w:widowControl/>
        <w:shd w:val="clear" w:color="auto" w:fill="FFFFFF"/>
        <w:ind w:firstLine="643"/>
        <w:rPr>
          <w:rFonts w:ascii="仿宋_GB2312" w:hAnsi="仿宋" w:eastAsia="仿宋_GB2312" w:cs="仿宋"/>
          <w:sz w:val="32"/>
          <w:szCs w:val="32"/>
        </w:rPr>
      </w:pPr>
      <w:r>
        <w:rPr>
          <w:rFonts w:hint="eastAsia" w:ascii="仿宋_GB2312" w:hAnsi="仿宋" w:eastAsia="仿宋_GB2312" w:cs="仿宋"/>
          <w:b/>
          <w:bCs/>
          <w:sz w:val="32"/>
          <w:szCs w:val="32"/>
        </w:rPr>
        <w:t>第三条</w:t>
      </w:r>
      <w:r>
        <w:rPr>
          <w:rFonts w:hint="eastAsia" w:ascii="仿宋_GB2312" w:hAnsi="仿宋" w:eastAsia="仿宋_GB2312" w:cs="仿宋"/>
          <w:sz w:val="32"/>
          <w:szCs w:val="32"/>
        </w:rPr>
        <w:t xml:space="preserve"> 市科协负责项目的公开征集、专家评审、资金拨付和日常监管、结项验收和绩效考核等工作。</w:t>
      </w:r>
    </w:p>
    <w:p w14:paraId="2D46F0AE">
      <w:pPr>
        <w:widowControl/>
        <w:shd w:val="clear" w:color="auto" w:fill="FFFFFF"/>
        <w:ind w:firstLine="640"/>
        <w:jc w:val="center"/>
        <w:rPr>
          <w:rFonts w:ascii="黑体" w:hAnsi="黑体" w:eastAsia="黑体" w:cs="仿宋"/>
          <w:sz w:val="32"/>
          <w:szCs w:val="32"/>
        </w:rPr>
      </w:pPr>
    </w:p>
    <w:p w14:paraId="703B7029">
      <w:pPr>
        <w:widowControl/>
        <w:shd w:val="clear" w:color="auto" w:fill="FFFFFF"/>
        <w:ind w:firstLine="0" w:firstLineChars="0"/>
        <w:jc w:val="center"/>
        <w:rPr>
          <w:rFonts w:ascii="黑体" w:hAnsi="黑体" w:eastAsia="黑体" w:cs="仿宋"/>
          <w:sz w:val="32"/>
          <w:szCs w:val="32"/>
        </w:rPr>
      </w:pPr>
      <w:r>
        <w:rPr>
          <w:rFonts w:hint="eastAsia" w:ascii="黑体" w:hAnsi="黑体" w:eastAsia="黑体" w:cs="仿宋"/>
          <w:sz w:val="32"/>
          <w:szCs w:val="32"/>
        </w:rPr>
        <w:t>第二章　支持重点和支持方式</w:t>
      </w:r>
    </w:p>
    <w:p w14:paraId="2B2FCEF1">
      <w:pPr>
        <w:widowControl/>
        <w:shd w:val="clear" w:color="auto" w:fill="FFFFFF"/>
        <w:ind w:firstLine="643"/>
        <w:rPr>
          <w:rFonts w:ascii="仿宋_GB2312" w:hAnsi="仿宋" w:eastAsia="仿宋_GB2312" w:cs="仿宋"/>
          <w:kern w:val="0"/>
          <w:sz w:val="32"/>
          <w:szCs w:val="32"/>
        </w:rPr>
      </w:pPr>
      <w:r>
        <w:rPr>
          <w:rFonts w:hint="eastAsia" w:ascii="仿宋_GB2312" w:hAnsi="仿宋" w:eastAsia="仿宋_GB2312" w:cs="仿宋"/>
          <w:b/>
          <w:bCs/>
          <w:sz w:val="32"/>
          <w:szCs w:val="32"/>
        </w:rPr>
        <w:t>第四条</w:t>
      </w:r>
      <w:r>
        <w:rPr>
          <w:rFonts w:ascii="仿宋_GB2312" w:hAnsi="仿宋" w:eastAsia="仿宋_GB2312" w:cs="仿宋"/>
          <w:b/>
          <w:bCs/>
          <w:sz w:val="32"/>
          <w:szCs w:val="32"/>
        </w:rPr>
        <w:t xml:space="preserve"> </w:t>
      </w:r>
      <w:r>
        <w:rPr>
          <w:rFonts w:hint="eastAsia" w:ascii="仿宋_GB2312" w:hAnsi="仿宋" w:eastAsia="仿宋_GB2312" w:cs="仿宋"/>
          <w:kern w:val="0"/>
          <w:sz w:val="32"/>
          <w:szCs w:val="32"/>
        </w:rPr>
        <w:t>资金重点支持方向及标准</w:t>
      </w:r>
    </w:p>
    <w:p w14:paraId="4EF7D852">
      <w:pPr>
        <w:pStyle w:val="12"/>
        <w:widowControl/>
        <w:spacing w:before="0" w:beforeAutospacing="0" w:after="0" w:afterAutospacing="0"/>
        <w:ind w:firstLine="640"/>
        <w:jc w:val="both"/>
        <w:rPr>
          <w:rFonts w:hint="eastAsia" w:ascii="仿宋_GB2312" w:hAnsi="仿宋" w:eastAsia="仿宋_GB2312" w:cs="仿宋"/>
          <w:kern w:val="2"/>
          <w:sz w:val="32"/>
          <w:szCs w:val="32"/>
        </w:rPr>
      </w:pPr>
      <w:r>
        <w:rPr>
          <w:rFonts w:hint="eastAsia" w:ascii="仿宋_GB2312" w:hAnsi="仿宋" w:eastAsia="仿宋_GB2312" w:cs="仿宋"/>
          <w:kern w:val="2"/>
          <w:sz w:val="32"/>
          <w:szCs w:val="32"/>
        </w:rPr>
        <w:t>科技工作者团队开展科技资源科普化实践，培育公共服务展教示范。</w:t>
      </w:r>
    </w:p>
    <w:p w14:paraId="736E04C3">
      <w:pPr>
        <w:ind w:firstLine="643"/>
        <w:rPr>
          <w:rFonts w:hint="eastAsia" w:ascii="仿宋_GB2312" w:hAnsi="仿宋" w:eastAsia="仿宋_GB2312" w:cs="仿宋"/>
          <w:bCs/>
          <w:sz w:val="32"/>
          <w:szCs w:val="32"/>
          <w:lang w:val="en-US" w:eastAsia="zh-CN"/>
        </w:rPr>
      </w:pP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lang w:val="en-US" w:eastAsia="zh-CN"/>
        </w:rPr>
        <w:t>一</w:t>
      </w: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rPr>
        <w:t>A类项目</w:t>
      </w:r>
      <w:r>
        <w:rPr>
          <w:rFonts w:hint="eastAsia" w:ascii="仿宋_GB2312" w:hAnsi="仿宋" w:eastAsia="仿宋_GB2312" w:cs="仿宋"/>
          <w:sz w:val="32"/>
          <w:szCs w:val="32"/>
        </w:rPr>
        <w:t>。</w:t>
      </w:r>
      <w:r>
        <w:rPr>
          <w:rFonts w:hint="eastAsia" w:ascii="仿宋_GB2312" w:hAnsi="仿宋" w:eastAsia="仿宋_GB2312" w:cs="仿宋"/>
          <w:bCs/>
          <w:sz w:val="32"/>
          <w:szCs w:val="32"/>
        </w:rPr>
        <w:t>重点支持研发、升级改造基于国家基础科学研究，科技创新成果的科普展览、展项、展品、模型等</w:t>
      </w:r>
      <w:r>
        <w:rPr>
          <w:rFonts w:hint="eastAsia" w:ascii="仿宋_GB2312" w:hAnsi="仿宋" w:eastAsia="仿宋_GB2312" w:cs="仿宋"/>
          <w:bCs/>
          <w:sz w:val="32"/>
          <w:szCs w:val="32"/>
          <w:lang w:val="en-US" w:eastAsia="zh-CN"/>
        </w:rPr>
        <w:t>并开展</w:t>
      </w:r>
      <w:r>
        <w:rPr>
          <w:rFonts w:hint="eastAsia" w:ascii="仿宋_GB2312" w:hAnsi="仿宋" w:eastAsia="仿宋_GB2312" w:cs="仿宋"/>
          <w:bCs/>
          <w:sz w:val="32"/>
          <w:szCs w:val="32"/>
        </w:rPr>
        <w:t>相关展览展示科普活动。</w:t>
      </w:r>
      <w:r>
        <w:rPr>
          <w:rFonts w:hint="eastAsia" w:ascii="仿宋_GB2312" w:hAnsi="仿宋" w:eastAsia="仿宋_GB2312" w:cs="仿宋"/>
          <w:bCs/>
          <w:sz w:val="32"/>
          <w:szCs w:val="32"/>
          <w:lang w:val="en-US" w:eastAsia="zh-CN"/>
        </w:rPr>
        <w:t>探索支持体现科学与艺术融合，适用于科普广场、科普街区、公共文化空间、城市更新等的科普装置开发。</w:t>
      </w:r>
    </w:p>
    <w:p w14:paraId="265FA283">
      <w:pPr>
        <w:ind w:firstLine="643"/>
        <w:rPr>
          <w:rFonts w:ascii="仿宋_GB2312" w:hAnsi="仿宋" w:eastAsia="仿宋_GB2312" w:cs="仿宋"/>
          <w:bCs/>
          <w:sz w:val="32"/>
          <w:szCs w:val="32"/>
        </w:rPr>
      </w:pPr>
      <w:r>
        <w:rPr>
          <w:rFonts w:hint="eastAsia" w:ascii="仿宋_GB2312" w:hAnsi="仿宋" w:eastAsia="仿宋_GB2312" w:cs="仿宋"/>
          <w:bCs/>
          <w:sz w:val="32"/>
          <w:szCs w:val="32"/>
        </w:rPr>
        <w:t>每个项目支持</w:t>
      </w:r>
      <w:r>
        <w:rPr>
          <w:rFonts w:hint="eastAsia" w:ascii="仿宋_GB2312" w:hAnsi="仿宋" w:eastAsia="仿宋_GB2312" w:cs="仿宋"/>
          <w:bCs/>
          <w:sz w:val="32"/>
          <w:szCs w:val="32"/>
          <w:lang w:val="en-US" w:eastAsia="zh-CN"/>
        </w:rPr>
        <w:t>10</w:t>
      </w:r>
      <w:r>
        <w:rPr>
          <w:rFonts w:hint="eastAsia" w:ascii="仿宋_GB2312" w:hAnsi="仿宋" w:eastAsia="仿宋_GB2312" w:cs="仿宋"/>
          <w:bCs/>
          <w:sz w:val="32"/>
          <w:szCs w:val="32"/>
        </w:rPr>
        <w:t>万元，总计支持不超</w:t>
      </w:r>
      <w:r>
        <w:rPr>
          <w:rFonts w:hint="eastAsia" w:ascii="仿宋_GB2312" w:hAnsi="仿宋" w:eastAsia="仿宋_GB2312" w:cs="仿宋"/>
          <w:bCs/>
          <w:sz w:val="32"/>
          <w:szCs w:val="32"/>
          <w:lang w:val="en-US" w:eastAsia="zh-CN"/>
        </w:rPr>
        <w:t>过</w:t>
      </w:r>
      <w:r>
        <w:rPr>
          <w:rFonts w:hint="eastAsia" w:ascii="仿宋_GB2312" w:hAnsi="仿宋" w:eastAsia="仿宋_GB2312" w:cs="仿宋"/>
          <w:bCs/>
          <w:sz w:val="32"/>
          <w:szCs w:val="32"/>
        </w:rPr>
        <w:t>20个项目（含择优支持202</w:t>
      </w:r>
      <w:r>
        <w:rPr>
          <w:rFonts w:hint="eastAsia" w:ascii="仿宋_GB2312" w:hAnsi="仿宋" w:eastAsia="仿宋_GB2312" w:cs="仿宋"/>
          <w:bCs/>
          <w:sz w:val="32"/>
          <w:szCs w:val="32"/>
          <w:lang w:val="en-US" w:eastAsia="zh-CN"/>
        </w:rPr>
        <w:t>4</w:t>
      </w:r>
      <w:r>
        <w:rPr>
          <w:rFonts w:hint="eastAsia" w:ascii="仿宋_GB2312" w:hAnsi="仿宋" w:eastAsia="仿宋_GB2312" w:cs="仿宋"/>
          <w:bCs/>
          <w:sz w:val="32"/>
          <w:szCs w:val="32"/>
        </w:rPr>
        <w:t>年纳入项目库管理的项目）。</w:t>
      </w:r>
    </w:p>
    <w:p w14:paraId="4AFCCB28">
      <w:pPr>
        <w:ind w:firstLine="643"/>
        <w:rPr>
          <w:rFonts w:ascii="仿宋_GB2312" w:hAnsi="仿宋" w:eastAsia="仿宋_GB2312" w:cs="仿宋"/>
          <w:bCs/>
          <w:sz w:val="32"/>
          <w:szCs w:val="32"/>
        </w:rPr>
      </w:pP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lang w:val="en-US" w:eastAsia="zh-CN"/>
        </w:rPr>
        <w:t>二</w:t>
      </w: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rPr>
        <w:t>B类项目。</w:t>
      </w:r>
      <w:r>
        <w:rPr>
          <w:rFonts w:hint="eastAsia" w:ascii="仿宋_GB2312" w:hAnsi="仿宋" w:eastAsia="仿宋_GB2312" w:cs="仿宋"/>
          <w:bCs/>
          <w:sz w:val="32"/>
          <w:szCs w:val="32"/>
        </w:rPr>
        <w:t>支持各类科技科普课程的开发</w:t>
      </w:r>
      <w:r>
        <w:rPr>
          <w:rFonts w:hint="eastAsia" w:ascii="仿宋_GB2312" w:hAnsi="仿宋" w:eastAsia="仿宋_GB2312" w:cs="仿宋"/>
          <w:bCs/>
          <w:sz w:val="32"/>
          <w:szCs w:val="32"/>
          <w:lang w:val="en-US" w:eastAsia="zh-CN"/>
        </w:rPr>
        <w:t>及应用</w:t>
      </w:r>
      <w:r>
        <w:rPr>
          <w:rFonts w:hint="eastAsia" w:ascii="仿宋_GB2312" w:hAnsi="仿宋" w:eastAsia="仿宋_GB2312" w:cs="仿宋"/>
          <w:bCs/>
          <w:sz w:val="32"/>
          <w:szCs w:val="32"/>
        </w:rPr>
        <w:t>，包括但不限于</w:t>
      </w:r>
      <w:r>
        <w:rPr>
          <w:rFonts w:hint="eastAsia" w:ascii="仿宋_GB2312" w:hAnsi="仿宋" w:eastAsia="仿宋_GB2312" w:cs="仿宋"/>
          <w:bCs/>
          <w:sz w:val="32"/>
          <w:szCs w:val="32"/>
          <w:lang w:val="en-US" w:eastAsia="zh-CN"/>
        </w:rPr>
        <w:t>面向公众</w:t>
      </w:r>
      <w:r>
        <w:rPr>
          <w:rFonts w:hint="eastAsia" w:ascii="仿宋_GB2312" w:hAnsi="仿宋" w:eastAsia="仿宋_GB2312" w:cs="仿宋"/>
          <w:bCs/>
          <w:sz w:val="32"/>
          <w:szCs w:val="32"/>
        </w:rPr>
        <w:t>讲解科学原理、各领域学科知识、讲述科学背后的故事和科学家精神，解读科技战略、科技政策、科技史以及博物类等相关主题</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lang w:val="en-US" w:eastAsia="zh-CN"/>
        </w:rPr>
        <w:t>面向</w:t>
      </w:r>
      <w:r>
        <w:rPr>
          <w:rFonts w:hint="eastAsia" w:ascii="仿宋_GB2312" w:hAnsi="仿宋" w:eastAsia="仿宋_GB2312" w:cs="仿宋"/>
          <w:bCs/>
          <w:sz w:val="32"/>
          <w:szCs w:val="32"/>
        </w:rPr>
        <w:t>科技和科普工作者</w:t>
      </w:r>
      <w:r>
        <w:rPr>
          <w:rFonts w:hint="eastAsia" w:ascii="仿宋_GB2312" w:hAnsi="仿宋" w:eastAsia="仿宋_GB2312" w:cs="仿宋"/>
          <w:bCs/>
          <w:sz w:val="32"/>
          <w:szCs w:val="32"/>
          <w:lang w:val="en-US" w:eastAsia="zh-CN"/>
        </w:rPr>
        <w:t>开展</w:t>
      </w:r>
      <w:r>
        <w:rPr>
          <w:rFonts w:hint="eastAsia" w:ascii="仿宋_GB2312" w:hAnsi="仿宋" w:eastAsia="仿宋_GB2312" w:cs="仿宋"/>
          <w:bCs/>
          <w:sz w:val="32"/>
          <w:szCs w:val="32"/>
        </w:rPr>
        <w:t>科普创作、演讲表达、模型展项制作、科技成果科普转化等科普能力</w:t>
      </w:r>
      <w:r>
        <w:rPr>
          <w:rFonts w:hint="eastAsia" w:ascii="仿宋_GB2312" w:hAnsi="仿宋" w:eastAsia="仿宋_GB2312" w:cs="仿宋"/>
          <w:bCs/>
          <w:sz w:val="32"/>
          <w:szCs w:val="32"/>
          <w:lang w:val="en-US" w:eastAsia="zh-CN"/>
        </w:rPr>
        <w:t>提升</w:t>
      </w:r>
      <w:r>
        <w:rPr>
          <w:rFonts w:hint="eastAsia" w:ascii="仿宋_GB2312" w:hAnsi="仿宋" w:eastAsia="仿宋_GB2312" w:cs="仿宋"/>
          <w:bCs/>
          <w:sz w:val="32"/>
          <w:szCs w:val="32"/>
        </w:rPr>
        <w:t>系列培训。重点</w:t>
      </w:r>
      <w:r>
        <w:rPr>
          <w:rFonts w:hint="eastAsia" w:ascii="仿宋_GB2312" w:hAnsi="仿宋" w:eastAsia="仿宋_GB2312" w:cs="仿宋"/>
          <w:bCs/>
          <w:sz w:val="32"/>
          <w:szCs w:val="32"/>
          <w:lang w:val="en-US" w:eastAsia="zh-CN"/>
        </w:rPr>
        <w:t>支持沉浸式课程开发、强互动课程开发。</w:t>
      </w:r>
    </w:p>
    <w:p w14:paraId="2844DBA8">
      <w:pPr>
        <w:ind w:firstLine="640"/>
        <w:rPr>
          <w:rFonts w:ascii="仿宋_GB2312" w:hAnsi="仿宋" w:eastAsia="仿宋_GB2312" w:cs="仿宋"/>
          <w:bCs/>
          <w:sz w:val="32"/>
          <w:szCs w:val="32"/>
        </w:rPr>
      </w:pPr>
      <w:r>
        <w:rPr>
          <w:rFonts w:hint="eastAsia" w:ascii="仿宋_GB2312" w:hAnsi="仿宋" w:eastAsia="仿宋_GB2312" w:cs="仿宋"/>
          <w:bCs/>
          <w:sz w:val="32"/>
          <w:szCs w:val="32"/>
        </w:rPr>
        <w:t>每个项目支持5万元，总计支持不超30个项目（含择优支持202</w:t>
      </w:r>
      <w:r>
        <w:rPr>
          <w:rFonts w:hint="eastAsia" w:ascii="仿宋_GB2312" w:hAnsi="仿宋" w:eastAsia="仿宋_GB2312" w:cs="仿宋"/>
          <w:bCs/>
          <w:sz w:val="32"/>
          <w:szCs w:val="32"/>
          <w:lang w:val="en-US" w:eastAsia="zh-CN"/>
        </w:rPr>
        <w:t>4</w:t>
      </w:r>
      <w:r>
        <w:rPr>
          <w:rFonts w:hint="eastAsia" w:ascii="仿宋_GB2312" w:hAnsi="仿宋" w:eastAsia="仿宋_GB2312" w:cs="仿宋"/>
          <w:bCs/>
          <w:sz w:val="32"/>
          <w:szCs w:val="32"/>
        </w:rPr>
        <w:t>年纳入项目库管理的项目）。</w:t>
      </w:r>
    </w:p>
    <w:p w14:paraId="332EFB17">
      <w:pPr>
        <w:ind w:firstLine="643"/>
        <w:rPr>
          <w:rFonts w:ascii="仿宋_GB2312" w:hAnsi="仿宋" w:eastAsia="仿宋_GB2312" w:cs="仿宋"/>
          <w:sz w:val="32"/>
          <w:szCs w:val="32"/>
        </w:rPr>
      </w:pP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lang w:val="en-US" w:eastAsia="zh-CN"/>
        </w:rPr>
        <w:t>三</w:t>
      </w: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rPr>
        <w:t>C类项目。</w:t>
      </w:r>
      <w:r>
        <w:rPr>
          <w:rFonts w:hint="eastAsia" w:ascii="仿宋_GB2312" w:hAnsi="仿宋" w:eastAsia="仿宋_GB2312" w:cs="仿宋"/>
          <w:bCs/>
          <w:sz w:val="32"/>
          <w:szCs w:val="32"/>
        </w:rPr>
        <w:t>支持</w:t>
      </w:r>
      <w:r>
        <w:rPr>
          <w:rFonts w:hint="eastAsia" w:ascii="仿宋_GB2312" w:hAnsi="仿宋" w:eastAsia="仿宋_GB2312" w:cs="仿宋"/>
          <w:bCs/>
          <w:sz w:val="32"/>
          <w:szCs w:val="32"/>
          <w:lang w:val="en-US" w:eastAsia="zh-CN"/>
        </w:rPr>
        <w:t>科技科普场所在全国科普月和相关主题日等开展讲座报告、</w:t>
      </w:r>
      <w:r>
        <w:rPr>
          <w:rFonts w:hint="eastAsia" w:ascii="仿宋_GB2312" w:hAnsi="仿宋" w:eastAsia="仿宋_GB2312" w:cs="仿宋"/>
          <w:bCs/>
          <w:sz w:val="32"/>
          <w:szCs w:val="32"/>
        </w:rPr>
        <w:t>科学体验与实践、科技科普志愿服务等活动。</w:t>
      </w:r>
      <w:r>
        <w:rPr>
          <w:rFonts w:hint="eastAsia" w:ascii="仿宋_GB2312" w:hAnsi="仿宋" w:eastAsia="仿宋_GB2312" w:cs="仿宋"/>
          <w:sz w:val="32"/>
          <w:szCs w:val="32"/>
        </w:rPr>
        <w:t>重点支持</w:t>
      </w:r>
      <w:r>
        <w:rPr>
          <w:rFonts w:hint="eastAsia" w:ascii="仿宋_GB2312" w:hAnsi="仿宋" w:eastAsia="仿宋_GB2312" w:cs="仿宋"/>
          <w:sz w:val="32"/>
          <w:szCs w:val="32"/>
          <w:lang w:val="en-US" w:eastAsia="zh-CN"/>
        </w:rPr>
        <w:t>高校科研院所</w:t>
      </w:r>
      <w:r>
        <w:rPr>
          <w:rFonts w:hint="eastAsia" w:ascii="仿宋_GB2312" w:hAnsi="仿宋" w:eastAsia="仿宋_GB2312" w:cs="仿宋"/>
          <w:sz w:val="32"/>
          <w:szCs w:val="32"/>
        </w:rPr>
        <w:t>博物馆、展厅、重点实验室</w:t>
      </w:r>
      <w:r>
        <w:rPr>
          <w:rFonts w:hint="eastAsia" w:ascii="仿宋_GB2312" w:hAnsi="仿宋" w:eastAsia="仿宋_GB2312" w:cs="仿宋"/>
          <w:sz w:val="32"/>
          <w:szCs w:val="32"/>
          <w:lang w:val="en-US" w:eastAsia="zh-CN"/>
        </w:rPr>
        <w:t>以及科技企业展厅</w:t>
      </w:r>
      <w:r>
        <w:rPr>
          <w:rFonts w:hint="eastAsia" w:ascii="仿宋_GB2312" w:hAnsi="仿宋" w:eastAsia="仿宋_GB2312" w:cs="仿宋"/>
          <w:sz w:val="32"/>
          <w:szCs w:val="32"/>
        </w:rPr>
        <w:t>等面向公众开放</w:t>
      </w:r>
      <w:r>
        <w:rPr>
          <w:rFonts w:hint="eastAsia" w:ascii="仿宋_GB2312" w:hAnsi="仿宋" w:eastAsia="仿宋_GB2312" w:cs="仿宋"/>
          <w:sz w:val="32"/>
          <w:szCs w:val="32"/>
          <w:lang w:eastAsia="zh-CN"/>
        </w:rPr>
        <w:t>的</w:t>
      </w:r>
      <w:r>
        <w:rPr>
          <w:rFonts w:hint="eastAsia" w:ascii="仿宋_GB2312" w:hAnsi="仿宋" w:eastAsia="仿宋_GB2312" w:cs="仿宋"/>
          <w:sz w:val="32"/>
          <w:szCs w:val="32"/>
        </w:rPr>
        <w:t>活动</w:t>
      </w:r>
      <w:r>
        <w:rPr>
          <w:rFonts w:hint="eastAsia" w:ascii="仿宋_GB2312" w:hAnsi="仿宋" w:eastAsia="仿宋_GB2312" w:cs="仿宋"/>
          <w:sz w:val="32"/>
          <w:szCs w:val="32"/>
          <w:lang w:eastAsia="zh-CN"/>
        </w:rPr>
        <w:t>。</w:t>
      </w:r>
      <w:r>
        <w:rPr>
          <w:rFonts w:ascii="仿宋_GB2312" w:hAnsi="仿宋" w:eastAsia="仿宋_GB2312" w:cs="仿宋"/>
          <w:sz w:val="32"/>
          <w:szCs w:val="32"/>
        </w:rPr>
        <w:t xml:space="preserve"> </w:t>
      </w:r>
    </w:p>
    <w:p w14:paraId="0CCB9F04">
      <w:pPr>
        <w:ind w:firstLine="640"/>
        <w:rPr>
          <w:rFonts w:ascii="仿宋_GB2312" w:hAnsi="仿宋" w:eastAsia="仿宋_GB2312" w:cs="仿宋"/>
          <w:bCs/>
          <w:sz w:val="32"/>
          <w:szCs w:val="32"/>
        </w:rPr>
      </w:pPr>
      <w:r>
        <w:rPr>
          <w:rFonts w:hint="eastAsia" w:ascii="仿宋_GB2312" w:hAnsi="仿宋" w:eastAsia="仿宋_GB2312" w:cs="仿宋"/>
          <w:bCs/>
          <w:sz w:val="32"/>
          <w:szCs w:val="32"/>
        </w:rPr>
        <w:t>每个项目支持</w:t>
      </w:r>
      <w:r>
        <w:rPr>
          <w:rFonts w:hint="eastAsia" w:ascii="仿宋_GB2312" w:hAnsi="仿宋" w:eastAsia="仿宋_GB2312" w:cs="仿宋"/>
          <w:bCs/>
          <w:sz w:val="32"/>
          <w:szCs w:val="32"/>
          <w:lang w:val="en-US" w:eastAsia="zh-CN"/>
        </w:rPr>
        <w:t>5</w:t>
      </w:r>
      <w:r>
        <w:rPr>
          <w:rFonts w:hint="eastAsia" w:ascii="仿宋_GB2312" w:hAnsi="仿宋" w:eastAsia="仿宋_GB2312" w:cs="仿宋"/>
          <w:bCs/>
          <w:sz w:val="32"/>
          <w:szCs w:val="32"/>
        </w:rPr>
        <w:t>万元，总计支持不超</w:t>
      </w:r>
      <w:r>
        <w:rPr>
          <w:rFonts w:hint="eastAsia" w:ascii="仿宋_GB2312" w:hAnsi="仿宋" w:eastAsia="仿宋_GB2312" w:cs="仿宋"/>
          <w:bCs/>
          <w:sz w:val="32"/>
          <w:szCs w:val="32"/>
          <w:lang w:val="en-US" w:eastAsia="zh-CN"/>
        </w:rPr>
        <w:t>4</w:t>
      </w:r>
      <w:r>
        <w:rPr>
          <w:rFonts w:hint="eastAsia" w:ascii="仿宋_GB2312" w:hAnsi="仿宋" w:eastAsia="仿宋_GB2312" w:cs="仿宋"/>
          <w:bCs/>
          <w:sz w:val="32"/>
          <w:szCs w:val="32"/>
        </w:rPr>
        <w:t>0个项目（含择优支持202</w:t>
      </w:r>
      <w:r>
        <w:rPr>
          <w:rFonts w:hint="eastAsia" w:ascii="仿宋_GB2312" w:hAnsi="仿宋" w:eastAsia="仿宋_GB2312" w:cs="仿宋"/>
          <w:bCs/>
          <w:sz w:val="32"/>
          <w:szCs w:val="32"/>
          <w:lang w:val="en-US" w:eastAsia="zh-CN"/>
        </w:rPr>
        <w:t>4</w:t>
      </w:r>
      <w:r>
        <w:rPr>
          <w:rFonts w:hint="eastAsia" w:ascii="仿宋_GB2312" w:hAnsi="仿宋" w:eastAsia="仿宋_GB2312" w:cs="仿宋"/>
          <w:bCs/>
          <w:sz w:val="32"/>
          <w:szCs w:val="32"/>
        </w:rPr>
        <w:t>年纳入项目库管理的项目）。</w:t>
      </w:r>
    </w:p>
    <w:p w14:paraId="44B33ABF">
      <w:pPr>
        <w:ind w:firstLine="640"/>
      </w:pPr>
      <w:r>
        <w:rPr>
          <w:rFonts w:hint="eastAsia" w:ascii="仿宋_GB2312" w:hAnsi="仿宋" w:eastAsia="仿宋_GB2312" w:cs="宋体"/>
          <w:kern w:val="0"/>
          <w:sz w:val="32"/>
          <w:szCs w:val="32"/>
        </w:rPr>
        <w:t>已获得202</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年财政经费支持内容</w:t>
      </w:r>
      <w:r>
        <w:rPr>
          <w:rFonts w:hint="eastAsia" w:ascii="仿宋_GB2312" w:hAnsi="黑体" w:eastAsia="仿宋_GB2312"/>
          <w:sz w:val="32"/>
          <w:szCs w:val="32"/>
        </w:rPr>
        <w:t>不得重复申报</w:t>
      </w:r>
      <w:r>
        <w:rPr>
          <w:rFonts w:hint="eastAsia" w:ascii="仿宋_GB2312" w:hAnsi="仿宋" w:eastAsia="仿宋_GB2312" w:cs="宋体"/>
          <w:kern w:val="0"/>
          <w:sz w:val="32"/>
          <w:szCs w:val="32"/>
        </w:rPr>
        <w:t>。</w:t>
      </w:r>
    </w:p>
    <w:p w14:paraId="7A323F0C">
      <w:pPr>
        <w:widowControl/>
        <w:shd w:val="clear" w:color="auto" w:fill="FFFFFF"/>
        <w:ind w:firstLine="643"/>
        <w:rPr>
          <w:rFonts w:ascii="仿宋_GB2312" w:hAnsi="仿宋" w:eastAsia="仿宋_GB2312" w:cs="仿宋"/>
          <w:sz w:val="32"/>
          <w:szCs w:val="32"/>
        </w:rPr>
      </w:pPr>
      <w:r>
        <w:rPr>
          <w:rFonts w:hint="eastAsia" w:ascii="仿宋_GB2312" w:hAnsi="仿宋" w:eastAsia="仿宋_GB2312" w:cs="仿宋"/>
          <w:b/>
          <w:bCs/>
          <w:sz w:val="32"/>
          <w:szCs w:val="32"/>
        </w:rPr>
        <w:t>第五条</w:t>
      </w:r>
      <w:r>
        <w:rPr>
          <w:rFonts w:hint="eastAsia" w:ascii="仿宋_GB2312" w:hAnsi="仿宋" w:eastAsia="仿宋_GB2312" w:cs="仿宋"/>
          <w:sz w:val="32"/>
          <w:szCs w:val="32"/>
        </w:rPr>
        <w:t xml:space="preserve"> 资金支持方式及使用方向</w:t>
      </w:r>
    </w:p>
    <w:p w14:paraId="391DE64B">
      <w:pPr>
        <w:widowControl/>
        <w:shd w:val="clear" w:color="auto" w:fill="FFFFFF"/>
        <w:ind w:firstLine="64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主要用于启动阶段或实施过程中组织协调、调研论证、专家</w:t>
      </w:r>
      <w:r>
        <w:rPr>
          <w:rFonts w:hint="eastAsia" w:ascii="仿宋_GB2312" w:hAnsi="仿宋" w:eastAsia="仿宋_GB2312" w:cs="仿宋"/>
          <w:sz w:val="32"/>
          <w:szCs w:val="32"/>
          <w:lang w:val="en-US" w:eastAsia="zh-CN"/>
        </w:rPr>
        <w:t>聘请</w:t>
      </w:r>
      <w:r>
        <w:rPr>
          <w:rFonts w:hint="eastAsia" w:ascii="仿宋_GB2312" w:hAnsi="仿宋" w:eastAsia="仿宋_GB2312" w:cs="仿宋"/>
          <w:sz w:val="32"/>
          <w:szCs w:val="32"/>
        </w:rPr>
        <w:t>、方案设计、物料制作、课程实施等方面必要的技术、信息、劳务、宣传的支持与服务。</w:t>
      </w:r>
      <w:r>
        <w:rPr>
          <w:rFonts w:hint="eastAsia" w:ascii="仿宋_GB2312" w:hAnsi="仿宋" w:eastAsia="仿宋_GB2312" w:cs="仿宋"/>
          <w:sz w:val="32"/>
          <w:szCs w:val="32"/>
          <w:lang w:val="en-US" w:eastAsia="zh-CN"/>
        </w:rPr>
        <w:t>包括科普研发费、科普活动费、科普资源费及其他。</w:t>
      </w:r>
    </w:p>
    <w:p w14:paraId="4BE213DE">
      <w:pPr>
        <w:ind w:firstLine="640"/>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（一）科普研发费。包括设计费、制作费等。其中</w:t>
      </w:r>
      <w:r>
        <w:rPr>
          <w:rFonts w:hint="eastAsia" w:ascii="仿宋_GB2312" w:hAnsi="仿宋" w:eastAsia="仿宋_GB2312" w:cs="仿宋"/>
          <w:sz w:val="32"/>
          <w:szCs w:val="32"/>
        </w:rPr>
        <w:t>设计费是指在项目实施过程中对展览、展品、展项、装置、课程、活动的策划、创意构思、布局规划、视觉设计、互动功能设计等方面发生的</w:t>
      </w:r>
      <w:r>
        <w:rPr>
          <w:rFonts w:hint="eastAsia" w:ascii="仿宋_GB2312" w:hAnsi="仿宋" w:eastAsia="仿宋_GB2312" w:cs="仿宋"/>
          <w:sz w:val="32"/>
          <w:szCs w:val="32"/>
          <w:lang w:val="en-US" w:eastAsia="zh-CN"/>
        </w:rPr>
        <w:t>相关</w:t>
      </w:r>
      <w:r>
        <w:rPr>
          <w:rFonts w:hint="eastAsia" w:ascii="仿宋_GB2312" w:hAnsi="仿宋" w:eastAsia="仿宋_GB2312" w:cs="仿宋"/>
          <w:sz w:val="32"/>
          <w:szCs w:val="32"/>
        </w:rPr>
        <w:t>费用。</w:t>
      </w:r>
      <w:r>
        <w:rPr>
          <w:rFonts w:hint="eastAsia" w:ascii="仿宋_GB2312" w:hAnsi="仿宋_GB2312" w:eastAsia="仿宋_GB2312" w:cs="仿宋_GB2312"/>
          <w:b w:val="0"/>
          <w:bCs w:val="0"/>
          <w:kern w:val="0"/>
          <w:sz w:val="32"/>
          <w:szCs w:val="32"/>
          <w:lang w:val="en-US" w:eastAsia="zh-CN"/>
        </w:rPr>
        <w:t>制作费是指</w:t>
      </w:r>
      <w:r>
        <w:rPr>
          <w:rFonts w:hint="eastAsia" w:ascii="仿宋_GB2312" w:hAnsi="仿宋" w:eastAsia="仿宋_GB2312" w:cs="仿宋"/>
          <w:sz w:val="32"/>
          <w:szCs w:val="32"/>
          <w:lang w:val="en-US" w:eastAsia="zh-CN"/>
        </w:rPr>
        <w:t>在项目实施过程中发生的检验、测试、化验及加工制作等费用。</w:t>
      </w:r>
    </w:p>
    <w:p w14:paraId="18CBEB16">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）科普活动费。包括培训讲座费、活动费等。其中，培训讲座费是指为开展培训讲座过程中发生的聘请师资、租赁场地和设备、培训资料、伙食等费用；活动费是指举办科普</w:t>
      </w:r>
      <w:r>
        <w:rPr>
          <w:rFonts w:hint="eastAsia" w:ascii="仿宋_GB2312" w:hAnsi="仿宋_GB2312" w:eastAsia="仿宋_GB2312" w:cs="仿宋_GB2312"/>
          <w:kern w:val="0"/>
          <w:sz w:val="32"/>
          <w:szCs w:val="32"/>
          <w:lang w:val="en-US" w:eastAsia="zh-CN"/>
        </w:rPr>
        <w:t>活动</w:t>
      </w:r>
      <w:r>
        <w:rPr>
          <w:rFonts w:hint="eastAsia" w:ascii="仿宋_GB2312" w:hAnsi="仿宋_GB2312" w:eastAsia="仿宋_GB2312" w:cs="仿宋_GB2312"/>
          <w:kern w:val="0"/>
          <w:sz w:val="32"/>
          <w:szCs w:val="32"/>
        </w:rPr>
        <w:t>过程中发生的场地和设备租赁、搭建、运输、宣传和劳务等费用。</w:t>
      </w:r>
    </w:p>
    <w:p w14:paraId="2E2A5CA9">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rPr>
        <w:t>）科普资源经费。包括资料费、影视编创制作费、科普信息化建设费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耗材费</w:t>
      </w:r>
      <w:r>
        <w:rPr>
          <w:rFonts w:hint="eastAsia" w:ascii="仿宋_GB2312" w:hAnsi="仿宋_GB2312" w:eastAsia="仿宋_GB2312" w:cs="仿宋_GB2312"/>
          <w:kern w:val="0"/>
          <w:sz w:val="32"/>
          <w:szCs w:val="32"/>
        </w:rPr>
        <w:t>等。其中，资料费是指为开展科普活动所需购买图书及购买或制作音像资料、宣传资料等纸质及数字化材料发生的费用；影视编创制作费是指科普电影、电视节目、微视频、动漫、舞台剧（表演秀）等编创与制作过程中所发生的设备租赁、服装道具制作与租赁、搭建、运输、宣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劳务等费用。科普信息化建设费是指传播内容制作、应用推广、传播渠道整合和劳务等费用。耗材费是指项目实施过程中所消耗的工具、材料等费用。</w:t>
      </w:r>
    </w:p>
    <w:p w14:paraId="0C53987C">
      <w:pPr>
        <w:ind w:firstLine="640" w:firstLineChars="200"/>
        <w:rPr>
          <w:rFonts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）其他费用。是指除上述各项费用支出以外的、开展科普工作过程中所发生的相关费用。</w:t>
      </w:r>
    </w:p>
    <w:p w14:paraId="3BB7306A">
      <w:pPr>
        <w:ind w:firstLine="643"/>
        <w:rPr>
          <w:rFonts w:ascii="仿宋_GB2312" w:hAnsi="仿宋" w:eastAsia="仿宋_GB2312" w:cs="仿宋"/>
          <w:sz w:val="32"/>
          <w:szCs w:val="32"/>
        </w:rPr>
      </w:pPr>
      <w:r>
        <w:rPr>
          <w:rFonts w:hint="eastAsia" w:ascii="仿宋_GB2312" w:hAnsi="仿宋" w:eastAsia="仿宋_GB2312" w:cs="仿宋"/>
          <w:b/>
          <w:sz w:val="32"/>
          <w:szCs w:val="32"/>
        </w:rPr>
        <w:t xml:space="preserve">第六条 </w:t>
      </w:r>
      <w:r>
        <w:rPr>
          <w:rFonts w:hint="eastAsia" w:ascii="仿宋_GB2312" w:hAnsi="仿宋" w:eastAsia="仿宋_GB2312" w:cs="仿宋"/>
          <w:sz w:val="32"/>
          <w:szCs w:val="32"/>
        </w:rPr>
        <w:t>资金不得用于以下支出：</w:t>
      </w:r>
    </w:p>
    <w:p w14:paraId="6E455B4A">
      <w:pPr>
        <w:ind w:firstLine="640"/>
        <w:outlineLvl w:val="0"/>
        <w:rPr>
          <w:rFonts w:hint="eastAsia" w:ascii="仿宋_GB2312" w:hAnsi="仿宋" w:eastAsia="仿宋_GB2312" w:cs="仿宋"/>
          <w:sz w:val="32"/>
          <w:szCs w:val="32"/>
        </w:rPr>
      </w:pPr>
      <w:bookmarkStart w:id="0" w:name="_Toc6040"/>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人员工资、福利和个人奖金支出。</w:t>
      </w:r>
      <w:bookmarkEnd w:id="0"/>
    </w:p>
    <w:p w14:paraId="7A83A504">
      <w:pPr>
        <w:pStyle w:val="5"/>
        <w:rPr>
          <w:rFonts w:hint="default" w:eastAsia="仿宋_GB2312"/>
          <w:lang w:val="en-US"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申报单位及项目团队成员专家费支出。</w:t>
      </w:r>
    </w:p>
    <w:p w14:paraId="59D2FE9A">
      <w:pPr>
        <w:ind w:firstLine="640"/>
        <w:outlineLvl w:val="0"/>
        <w:rPr>
          <w:rFonts w:ascii="仿宋_GB2312" w:hAnsi="仿宋" w:eastAsia="仿宋_GB2312" w:cs="仿宋"/>
          <w:sz w:val="32"/>
          <w:szCs w:val="32"/>
        </w:rPr>
      </w:pPr>
      <w:bookmarkStart w:id="1" w:name="_Toc9400"/>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日常办公、出国和业务招待支出。</w:t>
      </w:r>
      <w:bookmarkEnd w:id="1"/>
    </w:p>
    <w:p w14:paraId="56E43904">
      <w:pPr>
        <w:ind w:firstLine="640"/>
        <w:outlineLvl w:val="0"/>
        <w:rPr>
          <w:rFonts w:ascii="仿宋_GB2312" w:hAnsi="仿宋" w:eastAsia="仿宋_GB2312" w:cs="仿宋"/>
          <w:sz w:val="32"/>
          <w:szCs w:val="32"/>
        </w:rPr>
      </w:pPr>
      <w:bookmarkStart w:id="2" w:name="_Toc26844"/>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办公设备设施的维修改造、新增办公设备支出。</w:t>
      </w:r>
      <w:bookmarkEnd w:id="2"/>
    </w:p>
    <w:p w14:paraId="2478D597">
      <w:pPr>
        <w:ind w:firstLine="640"/>
        <w:outlineLvl w:val="0"/>
        <w:rPr>
          <w:rFonts w:ascii="仿宋_GB2312" w:hAnsi="仿宋" w:eastAsia="仿宋_GB2312" w:cs="仿宋"/>
          <w:sz w:val="32"/>
          <w:szCs w:val="32"/>
        </w:rPr>
      </w:pPr>
      <w:bookmarkStart w:id="3" w:name="_Toc23066"/>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组织、管理和协调等各种管理性费用支出。</w:t>
      </w:r>
      <w:bookmarkEnd w:id="3"/>
    </w:p>
    <w:p w14:paraId="29260691">
      <w:pPr>
        <w:ind w:firstLine="640"/>
        <w:outlineLvl w:val="0"/>
        <w:rPr>
          <w:rFonts w:ascii="仿宋_GB2312" w:hAnsi="仿宋" w:eastAsia="仿宋_GB2312" w:cs="仿宋"/>
          <w:sz w:val="32"/>
          <w:szCs w:val="32"/>
        </w:rPr>
      </w:pPr>
      <w:bookmarkStart w:id="4" w:name="_Toc3285"/>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罚款、还贷、捐赠、赞助、对外投资支出。</w:t>
      </w:r>
      <w:bookmarkEnd w:id="4"/>
    </w:p>
    <w:p w14:paraId="4C8832A1">
      <w:pPr>
        <w:ind w:firstLine="640"/>
        <w:outlineLvl w:val="0"/>
        <w:rPr>
          <w:rFonts w:ascii="仿宋_GB2312" w:hAnsi="仿宋" w:eastAsia="仿宋_GB2312" w:cs="仿宋"/>
          <w:sz w:val="32"/>
          <w:szCs w:val="32"/>
        </w:rPr>
      </w:pPr>
      <w:bookmarkStart w:id="5" w:name="_Toc25333"/>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形成固定资产的设施设备支出。</w:t>
      </w:r>
      <w:bookmarkEnd w:id="5"/>
    </w:p>
    <w:p w14:paraId="21A2AADA">
      <w:pPr>
        <w:ind w:firstLine="640"/>
        <w:outlineLvl w:val="0"/>
        <w:rPr>
          <w:rFonts w:ascii="仿宋_GB2312" w:hAnsi="仿宋" w:eastAsia="仿宋_GB2312" w:cs="仿宋"/>
          <w:sz w:val="32"/>
          <w:szCs w:val="32"/>
        </w:rPr>
      </w:pPr>
      <w:bookmarkStart w:id="6" w:name="_Toc20621"/>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八</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已获得本年度财政经费支持内容。</w:t>
      </w:r>
      <w:bookmarkEnd w:id="6"/>
    </w:p>
    <w:p w14:paraId="3C112995">
      <w:pPr>
        <w:ind w:firstLine="640"/>
        <w:outlineLvl w:val="0"/>
        <w:rPr>
          <w:rFonts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与科普活动无关的其他支出。</w:t>
      </w:r>
    </w:p>
    <w:p w14:paraId="3269E852">
      <w:pPr>
        <w:widowControl/>
        <w:ind w:firstLine="0" w:firstLineChars="0"/>
        <w:jc w:val="center"/>
        <w:rPr>
          <w:rFonts w:ascii="黑体" w:hAnsi="黑体" w:eastAsia="黑体" w:cs="仿宋"/>
          <w:sz w:val="32"/>
          <w:szCs w:val="32"/>
        </w:rPr>
      </w:pPr>
      <w:r>
        <w:rPr>
          <w:rFonts w:hint="eastAsia" w:ascii="黑体" w:hAnsi="黑体" w:eastAsia="黑体" w:cs="仿宋"/>
          <w:sz w:val="32"/>
          <w:szCs w:val="32"/>
        </w:rPr>
        <w:t>第三章 监督检查和绩效评价</w:t>
      </w:r>
    </w:p>
    <w:p w14:paraId="25A35162">
      <w:pPr>
        <w:widowControl/>
        <w:ind w:firstLine="643"/>
        <w:rPr>
          <w:rFonts w:ascii="仿宋_GB2312" w:hAnsi="仿宋" w:eastAsia="仿宋_GB2312" w:cs="仿宋"/>
          <w:sz w:val="32"/>
          <w:szCs w:val="32"/>
        </w:rPr>
      </w:pPr>
      <w:r>
        <w:rPr>
          <w:rFonts w:hint="eastAsia" w:ascii="仿宋_GB2312" w:hAnsi="仿宋" w:eastAsia="仿宋_GB2312" w:cs="仿宋"/>
          <w:b/>
          <w:bCs/>
          <w:sz w:val="32"/>
          <w:szCs w:val="32"/>
        </w:rPr>
        <w:t>第七条</w:t>
      </w:r>
      <w:r>
        <w:rPr>
          <w:rFonts w:ascii="仿宋_GB2312" w:hAnsi="仿宋" w:eastAsia="仿宋_GB2312" w:cs="仿宋"/>
          <w:sz w:val="32"/>
          <w:szCs w:val="32"/>
        </w:rPr>
        <w:t xml:space="preserve"> </w:t>
      </w:r>
      <w:r>
        <w:rPr>
          <w:rFonts w:hint="eastAsia" w:ascii="仿宋_GB2312" w:hAnsi="仿宋" w:eastAsia="仿宋_GB2312" w:cs="仿宋"/>
          <w:sz w:val="32"/>
          <w:szCs w:val="32"/>
        </w:rPr>
        <w:t>市科协定期对资金资助项目的执行情况以及资金使用情况进行专项检查，并对重点项目组织实施绩效考评工作。</w:t>
      </w:r>
    </w:p>
    <w:p w14:paraId="28D92E5F">
      <w:pPr>
        <w:widowControl/>
        <w:ind w:firstLine="643"/>
        <w:rPr>
          <w:rFonts w:ascii="仿宋_GB2312" w:hAnsi="仿宋" w:eastAsia="仿宋_GB2312" w:cs="仿宋"/>
          <w:sz w:val="32"/>
          <w:szCs w:val="32"/>
        </w:rPr>
      </w:pPr>
      <w:r>
        <w:rPr>
          <w:rFonts w:hint="eastAsia" w:ascii="仿宋_GB2312" w:hAnsi="仿宋" w:eastAsia="仿宋_GB2312" w:cs="仿宋"/>
          <w:b/>
          <w:bCs/>
          <w:sz w:val="32"/>
          <w:szCs w:val="32"/>
        </w:rPr>
        <w:t>第八条</w:t>
      </w:r>
      <w:r>
        <w:rPr>
          <w:rFonts w:ascii="仿宋_GB2312" w:hAnsi="仿宋" w:eastAsia="仿宋_GB2312" w:cs="仿宋"/>
          <w:sz w:val="32"/>
          <w:szCs w:val="32"/>
        </w:rPr>
        <w:t xml:space="preserve"> </w:t>
      </w:r>
      <w:r>
        <w:rPr>
          <w:rFonts w:hint="eastAsia" w:ascii="仿宋_GB2312" w:hAnsi="仿宋" w:eastAsia="仿宋_GB2312" w:cs="仿宋"/>
          <w:sz w:val="32"/>
          <w:szCs w:val="32"/>
        </w:rPr>
        <w:t>获得支持的项目单位负责项目的具体实施，并按照国家和北京市有关财务制度严格项目资金管理，接受国家及市级有关部门的监督检查和审计。</w:t>
      </w:r>
    </w:p>
    <w:p w14:paraId="4D5D29C8">
      <w:pPr>
        <w:widowControl/>
        <w:ind w:firstLine="643"/>
        <w:rPr>
          <w:rFonts w:ascii="仿宋_GB2312" w:hAnsi="仿宋" w:eastAsia="仿宋_GB2312" w:cs="仿宋"/>
          <w:sz w:val="32"/>
          <w:szCs w:val="32"/>
        </w:rPr>
      </w:pPr>
      <w:r>
        <w:rPr>
          <w:rFonts w:hint="eastAsia" w:ascii="仿宋_GB2312" w:hAnsi="仿宋" w:eastAsia="仿宋_GB2312" w:cs="仿宋"/>
          <w:b/>
          <w:bCs/>
          <w:sz w:val="32"/>
          <w:szCs w:val="32"/>
        </w:rPr>
        <w:t>第九条</w:t>
      </w:r>
      <w:r>
        <w:rPr>
          <w:rFonts w:hint="eastAsia" w:ascii="仿宋_GB2312" w:hAnsi="仿宋" w:eastAsia="仿宋_GB2312" w:cs="仿宋"/>
          <w:sz w:val="32"/>
          <w:szCs w:val="32"/>
        </w:rPr>
        <w:t xml:space="preserve"> 市科协负责资金的监督管理，并接受相关部门的监督。发现有以下情形的，取消项目单位的申报资格，并将项目单位列入黑名单；已拨付的资金依法予以收回；涉嫌犯罪的，由司法机关依法追究法律责任。</w:t>
      </w:r>
    </w:p>
    <w:p w14:paraId="75361207">
      <w:pPr>
        <w:widowControl/>
        <w:ind w:firstLine="640"/>
        <w:rPr>
          <w:rFonts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评审年度内存在知识产权争议或其他法律风险的。</w:t>
      </w:r>
    </w:p>
    <w:p w14:paraId="3C04B59F">
      <w:pPr>
        <w:widowControl/>
        <w:ind w:firstLine="640"/>
        <w:rPr>
          <w:rFonts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在评审年度内因违法已被处罚或涉嫌违法正在接受调查的。</w:t>
      </w:r>
    </w:p>
    <w:p w14:paraId="6ACE656B">
      <w:pPr>
        <w:widowControl/>
        <w:ind w:firstLine="640"/>
        <w:rPr>
          <w:rFonts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三</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弄虚作假、骗取支持资金的。</w:t>
      </w:r>
    </w:p>
    <w:p w14:paraId="49B35FB3">
      <w:pPr>
        <w:widowControl/>
        <w:ind w:firstLine="640"/>
        <w:rPr>
          <w:rFonts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四</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其他违法违规行为。　</w:t>
      </w:r>
    </w:p>
    <w:p w14:paraId="7DB898A9">
      <w:pPr>
        <w:widowControl/>
        <w:ind w:firstLine="640"/>
        <w:rPr>
          <w:rFonts w:ascii="仿宋_GB2312" w:hAnsi="仿宋" w:eastAsia="仿宋_GB2312" w:cs="仿宋"/>
          <w:sz w:val="32"/>
          <w:szCs w:val="32"/>
        </w:rPr>
      </w:pPr>
      <w:r>
        <w:rPr>
          <w:rFonts w:hint="eastAsia" w:ascii="仿宋_GB2312" w:hAnsi="仿宋" w:eastAsia="仿宋_GB2312" w:cs="仿宋"/>
          <w:sz w:val="32"/>
          <w:szCs w:val="32"/>
        </w:rPr>
        <w:t>项目因故中止</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不可抗力因素、国家有关法律法规政策发生变动等情形除外</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，市科协将会同市财政收回全部或部分支持资金。</w:t>
      </w:r>
    </w:p>
    <w:p w14:paraId="2777AF6F">
      <w:pPr>
        <w:widowControl/>
        <w:ind w:firstLine="643"/>
        <w:rPr>
          <w:rFonts w:ascii="仿宋_GB2312" w:hAnsi="仿宋" w:eastAsia="仿宋_GB2312" w:cs="仿宋"/>
          <w:sz w:val="32"/>
          <w:szCs w:val="32"/>
        </w:rPr>
      </w:pPr>
      <w:r>
        <w:rPr>
          <w:rFonts w:hint="eastAsia" w:ascii="仿宋_GB2312" w:hAnsi="仿宋" w:eastAsia="仿宋_GB2312" w:cs="仿宋"/>
          <w:b/>
          <w:bCs/>
          <w:sz w:val="32"/>
          <w:szCs w:val="32"/>
        </w:rPr>
        <w:t xml:space="preserve">第十条 </w:t>
      </w:r>
      <w:r>
        <w:rPr>
          <w:rFonts w:hint="eastAsia" w:ascii="仿宋_GB2312" w:hAnsi="仿宋" w:eastAsia="仿宋_GB2312" w:cs="仿宋"/>
          <w:sz w:val="32"/>
          <w:szCs w:val="32"/>
        </w:rPr>
        <w:t>获得支持的项目单位应严格遵守市科协关于资金使用的规定，在绩效评价、财政评审及监督检查中发现问题的项目单位，应积极配合调查与处理，认真整改，及时报告。</w:t>
      </w:r>
    </w:p>
    <w:p w14:paraId="77E53C02">
      <w:pPr>
        <w:widowControl/>
        <w:ind w:firstLine="0" w:firstLineChars="0"/>
        <w:jc w:val="center"/>
        <w:rPr>
          <w:rFonts w:ascii="黑体" w:hAnsi="黑体" w:eastAsia="黑体" w:cs="仿宋"/>
          <w:sz w:val="32"/>
          <w:szCs w:val="32"/>
        </w:rPr>
      </w:pPr>
    </w:p>
    <w:p w14:paraId="35BE598A">
      <w:pPr>
        <w:widowControl/>
        <w:ind w:firstLine="0" w:firstLineChars="0"/>
        <w:jc w:val="center"/>
        <w:rPr>
          <w:rFonts w:ascii="黑体" w:hAnsi="黑体" w:eastAsia="黑体" w:cs="仿宋"/>
          <w:sz w:val="32"/>
          <w:szCs w:val="32"/>
        </w:rPr>
      </w:pPr>
      <w:r>
        <w:rPr>
          <w:rFonts w:hint="eastAsia" w:ascii="黑体" w:hAnsi="黑体" w:eastAsia="黑体" w:cs="仿宋"/>
          <w:sz w:val="32"/>
          <w:szCs w:val="32"/>
        </w:rPr>
        <w:t>第四章　附则</w:t>
      </w:r>
    </w:p>
    <w:p w14:paraId="11B75832">
      <w:pPr>
        <w:widowControl/>
        <w:ind w:firstLine="643"/>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第十一条</w:t>
      </w:r>
      <w:r>
        <w:rPr>
          <w:rFonts w:hint="eastAsia" w:ascii="仿宋_GB2312" w:hAnsi="仿宋" w:eastAsia="仿宋_GB2312" w:cs="仿宋"/>
          <w:sz w:val="32"/>
          <w:szCs w:val="32"/>
        </w:rPr>
        <w:t xml:space="preserve"> 本办法由北京市科协负责解释，自发布之日起施行</w:t>
      </w:r>
      <w:r>
        <w:rPr>
          <w:rFonts w:hint="eastAsia" w:ascii="仿宋_GB2312" w:hAnsi="仿宋" w:eastAsia="仿宋_GB2312" w:cs="仿宋"/>
          <w:sz w:val="32"/>
          <w:szCs w:val="32"/>
          <w:lang w:eastAsia="zh-CN"/>
        </w:rPr>
        <w:t>。</w:t>
      </w:r>
    </w:p>
    <w:sectPr>
      <w:footerReference r:id="rId7" w:type="first"/>
      <w:footerReference r:id="rId5" w:type="default"/>
      <w:footerReference r:id="rId6" w:type="even"/>
      <w:pgSz w:w="11906" w:h="16838"/>
      <w:pgMar w:top="2098" w:right="1531" w:bottom="1985" w:left="1588"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小标宋">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AC2E2">
    <w:pPr>
      <w:pStyle w:val="10"/>
      <w:ind w:firstLine="560"/>
      <w:jc w:val="right"/>
    </w:pPr>
    <w:r>
      <w:rPr>
        <w:rFonts w:hint="eastAsia" w:asciiTheme="minorEastAsia" w:hAnsiTheme="minorEastAsia"/>
        <w:sz w:val="28"/>
        <w:szCs w:val="28"/>
      </w:rPr>
      <w:t>-</w:t>
    </w:r>
    <w:sdt>
      <w:sdtPr>
        <w:rPr>
          <w:rFonts w:asciiTheme="minorEastAsia" w:hAnsiTheme="minorEastAsia"/>
          <w:sz w:val="28"/>
          <w:szCs w:val="28"/>
        </w:rPr>
        <w:id w:val="960889"/>
      </w:sdtPr>
      <w:sdtEndPr>
        <w:rPr>
          <w:rFonts w:asciiTheme="minorHAnsi" w:hAnsiTheme="minorHAnsi"/>
          <w:sz w:val="18"/>
          <w:szCs w:val="18"/>
        </w:rPr>
      </w:sdtEndPr>
      <w:sdtContent>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w:t>
        </w:r>
      </w:sdtContent>
    </w:sdt>
  </w:p>
  <w:p w14:paraId="681EA2FC">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4C5F1">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AD393">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107"/>
    <w:rsid w:val="0004752C"/>
    <w:rsid w:val="0006739E"/>
    <w:rsid w:val="000D5E5B"/>
    <w:rsid w:val="000D7BBF"/>
    <w:rsid w:val="00146909"/>
    <w:rsid w:val="00151D24"/>
    <w:rsid w:val="00175BAC"/>
    <w:rsid w:val="001B6B28"/>
    <w:rsid w:val="001C1C9C"/>
    <w:rsid w:val="001F7AA2"/>
    <w:rsid w:val="0021394D"/>
    <w:rsid w:val="00270C39"/>
    <w:rsid w:val="0027693C"/>
    <w:rsid w:val="002A7AB4"/>
    <w:rsid w:val="002D5821"/>
    <w:rsid w:val="002E530C"/>
    <w:rsid w:val="00313338"/>
    <w:rsid w:val="00345638"/>
    <w:rsid w:val="00356FAE"/>
    <w:rsid w:val="00360107"/>
    <w:rsid w:val="00363609"/>
    <w:rsid w:val="003701D9"/>
    <w:rsid w:val="00371D74"/>
    <w:rsid w:val="00381B94"/>
    <w:rsid w:val="003B293D"/>
    <w:rsid w:val="003E785B"/>
    <w:rsid w:val="003F468B"/>
    <w:rsid w:val="0041470B"/>
    <w:rsid w:val="00425141"/>
    <w:rsid w:val="00447E0F"/>
    <w:rsid w:val="00497FFD"/>
    <w:rsid w:val="004D2321"/>
    <w:rsid w:val="0053534E"/>
    <w:rsid w:val="00536455"/>
    <w:rsid w:val="00553347"/>
    <w:rsid w:val="005641DA"/>
    <w:rsid w:val="005E3171"/>
    <w:rsid w:val="00617F97"/>
    <w:rsid w:val="0062118B"/>
    <w:rsid w:val="00647784"/>
    <w:rsid w:val="00664CC8"/>
    <w:rsid w:val="0068255F"/>
    <w:rsid w:val="006D328F"/>
    <w:rsid w:val="006D3BF4"/>
    <w:rsid w:val="006E4F06"/>
    <w:rsid w:val="00702887"/>
    <w:rsid w:val="00743044"/>
    <w:rsid w:val="00756764"/>
    <w:rsid w:val="00822F77"/>
    <w:rsid w:val="00840692"/>
    <w:rsid w:val="0086576A"/>
    <w:rsid w:val="00881F5E"/>
    <w:rsid w:val="00892E48"/>
    <w:rsid w:val="00897C40"/>
    <w:rsid w:val="008B021F"/>
    <w:rsid w:val="008D205F"/>
    <w:rsid w:val="008D7863"/>
    <w:rsid w:val="00922A0C"/>
    <w:rsid w:val="00953671"/>
    <w:rsid w:val="009B3524"/>
    <w:rsid w:val="009B6102"/>
    <w:rsid w:val="009C2683"/>
    <w:rsid w:val="00A00DD2"/>
    <w:rsid w:val="00A36B02"/>
    <w:rsid w:val="00A74E06"/>
    <w:rsid w:val="00A82DA9"/>
    <w:rsid w:val="00AB4A90"/>
    <w:rsid w:val="00AD210D"/>
    <w:rsid w:val="00B06008"/>
    <w:rsid w:val="00B44E08"/>
    <w:rsid w:val="00B47669"/>
    <w:rsid w:val="00B74C54"/>
    <w:rsid w:val="00B833AA"/>
    <w:rsid w:val="00BC2CFD"/>
    <w:rsid w:val="00BD70A7"/>
    <w:rsid w:val="00BF7EB4"/>
    <w:rsid w:val="00C52AB6"/>
    <w:rsid w:val="00C5323F"/>
    <w:rsid w:val="00C902EE"/>
    <w:rsid w:val="00C93B67"/>
    <w:rsid w:val="00CA5E17"/>
    <w:rsid w:val="00CB763C"/>
    <w:rsid w:val="00CE15DB"/>
    <w:rsid w:val="00CE2554"/>
    <w:rsid w:val="00CE3E60"/>
    <w:rsid w:val="00D026CB"/>
    <w:rsid w:val="00D756D6"/>
    <w:rsid w:val="00D90E82"/>
    <w:rsid w:val="00DA2003"/>
    <w:rsid w:val="00DE1CDD"/>
    <w:rsid w:val="00DF0F56"/>
    <w:rsid w:val="00DF6CC8"/>
    <w:rsid w:val="00E00A4C"/>
    <w:rsid w:val="00E165E6"/>
    <w:rsid w:val="00E269BC"/>
    <w:rsid w:val="00E37327"/>
    <w:rsid w:val="00E76694"/>
    <w:rsid w:val="00EC4B78"/>
    <w:rsid w:val="00F255C4"/>
    <w:rsid w:val="00F64FC1"/>
    <w:rsid w:val="00FA42A2"/>
    <w:rsid w:val="00FC3C8B"/>
    <w:rsid w:val="00FE3625"/>
    <w:rsid w:val="00FF4021"/>
    <w:rsid w:val="07FDAD78"/>
    <w:rsid w:val="08A76E74"/>
    <w:rsid w:val="08DF5CA0"/>
    <w:rsid w:val="156F6EAD"/>
    <w:rsid w:val="17CFED91"/>
    <w:rsid w:val="1F1F79F4"/>
    <w:rsid w:val="1F3DA66A"/>
    <w:rsid w:val="267E6045"/>
    <w:rsid w:val="272307BE"/>
    <w:rsid w:val="2A405B99"/>
    <w:rsid w:val="2D37E2A3"/>
    <w:rsid w:val="2E862DF3"/>
    <w:rsid w:val="2FFFE389"/>
    <w:rsid w:val="31DB1D52"/>
    <w:rsid w:val="31DDB27E"/>
    <w:rsid w:val="39CC49F9"/>
    <w:rsid w:val="3A0834E4"/>
    <w:rsid w:val="3A8D4662"/>
    <w:rsid w:val="3B4F6FF4"/>
    <w:rsid w:val="3CF43F50"/>
    <w:rsid w:val="3EBA6C44"/>
    <w:rsid w:val="3FFD4F33"/>
    <w:rsid w:val="410B7117"/>
    <w:rsid w:val="4E378AB1"/>
    <w:rsid w:val="4FFF7B29"/>
    <w:rsid w:val="550FBEDA"/>
    <w:rsid w:val="565DE0F2"/>
    <w:rsid w:val="571F069D"/>
    <w:rsid w:val="5BD36DFE"/>
    <w:rsid w:val="5BFF3649"/>
    <w:rsid w:val="5CB764B1"/>
    <w:rsid w:val="5CFEB865"/>
    <w:rsid w:val="65DE077F"/>
    <w:rsid w:val="69DF5CB7"/>
    <w:rsid w:val="6E2049C2"/>
    <w:rsid w:val="6FAFB14B"/>
    <w:rsid w:val="6FF7A0FE"/>
    <w:rsid w:val="71FAED2D"/>
    <w:rsid w:val="73293244"/>
    <w:rsid w:val="74DDBD64"/>
    <w:rsid w:val="75E3D87F"/>
    <w:rsid w:val="76FF676C"/>
    <w:rsid w:val="797F05BA"/>
    <w:rsid w:val="7C5BE3E7"/>
    <w:rsid w:val="7DBF4B00"/>
    <w:rsid w:val="7DF411EC"/>
    <w:rsid w:val="7E2B7A6C"/>
    <w:rsid w:val="7EDFB0C5"/>
    <w:rsid w:val="7F67DB25"/>
    <w:rsid w:val="7F720774"/>
    <w:rsid w:val="7FBE8D6E"/>
    <w:rsid w:val="7FDB6364"/>
    <w:rsid w:val="7FE626FE"/>
    <w:rsid w:val="7FF7C06B"/>
    <w:rsid w:val="7FFEB9F2"/>
    <w:rsid w:val="8DFFD3C6"/>
    <w:rsid w:val="93FFEE1F"/>
    <w:rsid w:val="9FE5EB7F"/>
    <w:rsid w:val="A1FB0AEE"/>
    <w:rsid w:val="A5FB3EE6"/>
    <w:rsid w:val="AAFFBAD9"/>
    <w:rsid w:val="B477BEE6"/>
    <w:rsid w:val="B7DFB818"/>
    <w:rsid w:val="B7FF89CB"/>
    <w:rsid w:val="BA9FCB41"/>
    <w:rsid w:val="BBBF4AB5"/>
    <w:rsid w:val="BEFDBEAF"/>
    <w:rsid w:val="BF9F7C8C"/>
    <w:rsid w:val="BFD757AA"/>
    <w:rsid w:val="BFDEC20F"/>
    <w:rsid w:val="BFDF8483"/>
    <w:rsid w:val="C5FFFED9"/>
    <w:rsid w:val="CFFE15FB"/>
    <w:rsid w:val="DBD6614E"/>
    <w:rsid w:val="DCAFE6C8"/>
    <w:rsid w:val="DEFB00D1"/>
    <w:rsid w:val="DEFB0C5E"/>
    <w:rsid w:val="DF5107FB"/>
    <w:rsid w:val="E3B77805"/>
    <w:rsid w:val="E3FF2472"/>
    <w:rsid w:val="E7AF9E1A"/>
    <w:rsid w:val="E7B76D02"/>
    <w:rsid w:val="EB977546"/>
    <w:rsid w:val="EDE6409D"/>
    <w:rsid w:val="EDFF5B86"/>
    <w:rsid w:val="EFDDAE73"/>
    <w:rsid w:val="F321418A"/>
    <w:rsid w:val="F3F90E9F"/>
    <w:rsid w:val="F4C7FBEB"/>
    <w:rsid w:val="F5772F85"/>
    <w:rsid w:val="F7BEF108"/>
    <w:rsid w:val="FB6EC2DD"/>
    <w:rsid w:val="FBB4D059"/>
    <w:rsid w:val="FBCF1EEF"/>
    <w:rsid w:val="FC6DFB5E"/>
    <w:rsid w:val="FCEEE3AA"/>
    <w:rsid w:val="FDB7E563"/>
    <w:rsid w:val="FDE231E5"/>
    <w:rsid w:val="FDF68BA4"/>
    <w:rsid w:val="FDFC731A"/>
    <w:rsid w:val="FE57952D"/>
    <w:rsid w:val="FE7B534F"/>
    <w:rsid w:val="FE9DB1A4"/>
    <w:rsid w:val="FEBF038D"/>
    <w:rsid w:val="FEFF9DA3"/>
    <w:rsid w:val="FF5DBA98"/>
    <w:rsid w:val="FF7FEFA4"/>
    <w:rsid w:val="FFBD593C"/>
    <w:rsid w:val="FFDCF0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widowControl/>
      <w:jc w:val="center"/>
      <w:outlineLvl w:val="0"/>
    </w:pPr>
    <w:rPr>
      <w:rFonts w:ascii="宋体" w:hAnsi="宋体" w:eastAsia="方正小标宋简体"/>
      <w:bCs/>
      <w:kern w:val="36"/>
      <w:sz w:val="44"/>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
    <w:qFormat/>
    <w:uiPriority w:val="0"/>
    <w:pPr>
      <w:spacing w:line="240" w:lineRule="auto"/>
      <w:ind w:firstLine="0" w:firstLineChars="0"/>
      <w:jc w:val="center"/>
    </w:pPr>
    <w:rPr>
      <w:rFonts w:ascii="Times New Roman" w:hAnsi="Times New Roman" w:eastAsia="宋体" w:cs="Times New Roman"/>
      <w:b/>
      <w:bCs/>
      <w:sz w:val="44"/>
      <w:szCs w:val="24"/>
    </w:rPr>
  </w:style>
  <w:style w:type="paragraph" w:customStyle="1" w:styleId="3">
    <w:name w:val="toc 1_b958cacf-7e5f-454f-8c5b-6e15b77831f9"/>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Normal Indent"/>
    <w:basedOn w:val="1"/>
    <w:next w:val="6"/>
    <w:qFormat/>
    <w:uiPriority w:val="0"/>
    <w:pPr>
      <w:ind w:firstLine="420"/>
    </w:pPr>
  </w:style>
  <w:style w:type="paragraph" w:styleId="6">
    <w:name w:val="Date"/>
    <w:basedOn w:val="1"/>
    <w:next w:val="1"/>
    <w:link w:val="18"/>
    <w:semiHidden/>
    <w:unhideWhenUsed/>
    <w:qFormat/>
    <w:uiPriority w:val="99"/>
    <w:pPr>
      <w:ind w:left="100" w:leftChars="2500"/>
    </w:pPr>
  </w:style>
  <w:style w:type="paragraph" w:styleId="7">
    <w:name w:val="Plain Text"/>
    <w:basedOn w:val="1"/>
    <w:link w:val="21"/>
    <w:semiHidden/>
    <w:unhideWhenUsed/>
    <w:qFormat/>
    <w:uiPriority w:val="99"/>
    <w:rPr>
      <w:rFonts w:ascii="宋体" w:hAnsi="Courier New" w:eastAsia="宋体" w:cs="Courier New"/>
      <w:szCs w:val="21"/>
    </w:r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36"/>
    <w:semiHidden/>
    <w:unhideWhenUsed/>
    <w:qFormat/>
    <w:uiPriority w:val="99"/>
    <w:pPr>
      <w:spacing w:line="240" w:lineRule="auto"/>
    </w:pPr>
    <w:rPr>
      <w:sz w:val="18"/>
      <w:szCs w:val="18"/>
    </w:rPr>
  </w:style>
  <w:style w:type="paragraph" w:styleId="10">
    <w:name w:val="footer"/>
    <w:basedOn w:val="1"/>
    <w:link w:val="20"/>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spacing w:line="240" w:lineRule="atLeast"/>
      <w:ind w:firstLine="360"/>
      <w:jc w:val="center"/>
    </w:pPr>
    <w:rPr>
      <w:sz w:val="18"/>
      <w:szCs w:val="18"/>
    </w:rPr>
  </w:style>
  <w:style w:type="paragraph" w:styleId="12">
    <w:name w:val="Normal (Web)"/>
    <w:basedOn w:val="1"/>
    <w:unhideWhenUsed/>
    <w:qFormat/>
    <w:uiPriority w:val="99"/>
    <w:pPr>
      <w:spacing w:before="100" w:beforeAutospacing="1" w:after="100"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themeColor="hyperlink"/>
      <w:u w:val="single"/>
      <w14:textFill>
        <w14:solidFill>
          <w14:schemeClr w14:val="hlink"/>
        </w14:solidFill>
      </w14:textFill>
    </w:rPr>
  </w:style>
  <w:style w:type="character" w:customStyle="1" w:styleId="17">
    <w:name w:val="正文文本 Char"/>
    <w:basedOn w:val="15"/>
    <w:link w:val="2"/>
    <w:qFormat/>
    <w:uiPriority w:val="0"/>
    <w:rPr>
      <w:rFonts w:ascii="Times New Roman" w:hAnsi="Times New Roman" w:eastAsia="宋体" w:cs="Times New Roman"/>
      <w:b/>
      <w:bCs/>
      <w:sz w:val="44"/>
      <w:szCs w:val="24"/>
    </w:rPr>
  </w:style>
  <w:style w:type="character" w:customStyle="1" w:styleId="18">
    <w:name w:val="日期 Char"/>
    <w:basedOn w:val="15"/>
    <w:link w:val="6"/>
    <w:semiHidden/>
    <w:qFormat/>
    <w:uiPriority w:val="99"/>
  </w:style>
  <w:style w:type="character" w:customStyle="1" w:styleId="19">
    <w:name w:val="页眉 Char"/>
    <w:basedOn w:val="15"/>
    <w:link w:val="11"/>
    <w:qFormat/>
    <w:uiPriority w:val="99"/>
    <w:rPr>
      <w:sz w:val="18"/>
      <w:szCs w:val="18"/>
    </w:rPr>
  </w:style>
  <w:style w:type="character" w:customStyle="1" w:styleId="20">
    <w:name w:val="页脚 Char"/>
    <w:basedOn w:val="15"/>
    <w:link w:val="10"/>
    <w:qFormat/>
    <w:uiPriority w:val="99"/>
    <w:rPr>
      <w:sz w:val="18"/>
      <w:szCs w:val="18"/>
    </w:rPr>
  </w:style>
  <w:style w:type="character" w:customStyle="1" w:styleId="21">
    <w:name w:val="纯文本 Char"/>
    <w:basedOn w:val="15"/>
    <w:link w:val="7"/>
    <w:semiHidden/>
    <w:qFormat/>
    <w:uiPriority w:val="99"/>
    <w:rPr>
      <w:rFonts w:ascii="宋体" w:hAnsi="Courier New" w:eastAsia="宋体" w:cs="Courier New"/>
      <w:szCs w:val="21"/>
    </w:rPr>
  </w:style>
  <w:style w:type="character" w:customStyle="1" w:styleId="22">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23">
    <w:name w:val="订制标题 Char"/>
    <w:link w:val="24"/>
    <w:qFormat/>
    <w:locked/>
    <w:uiPriority w:val="0"/>
    <w:rPr>
      <w:rFonts w:ascii="小标宋" w:eastAsia="小标宋"/>
      <w:sz w:val="44"/>
      <w:szCs w:val="44"/>
    </w:rPr>
  </w:style>
  <w:style w:type="paragraph" w:customStyle="1" w:styleId="24">
    <w:name w:val="订制标题"/>
    <w:basedOn w:val="1"/>
    <w:link w:val="23"/>
    <w:qFormat/>
    <w:uiPriority w:val="0"/>
    <w:pPr>
      <w:ind w:firstLine="0" w:firstLineChars="0"/>
      <w:jc w:val="center"/>
    </w:pPr>
    <w:rPr>
      <w:rFonts w:ascii="小标宋" w:eastAsia="小标宋"/>
      <w:sz w:val="44"/>
      <w:szCs w:val="44"/>
    </w:rPr>
  </w:style>
  <w:style w:type="paragraph" w:styleId="25">
    <w:name w:val="List Paragraph"/>
    <w:basedOn w:val="1"/>
    <w:qFormat/>
    <w:uiPriority w:val="34"/>
    <w:pPr>
      <w:widowControl/>
      <w:overflowPunct w:val="0"/>
      <w:autoSpaceDE w:val="0"/>
      <w:autoSpaceDN w:val="0"/>
      <w:adjustRightInd w:val="0"/>
      <w:spacing w:line="240" w:lineRule="auto"/>
      <w:ind w:firstLine="420"/>
    </w:pPr>
    <w:rPr>
      <w:rFonts w:ascii="Calibri" w:hAnsi="Calibri" w:eastAsia="宋体" w:cs="Times New Roman"/>
      <w:kern w:val="0"/>
      <w:sz w:val="28"/>
      <w:szCs w:val="20"/>
    </w:rPr>
  </w:style>
  <w:style w:type="paragraph" w:customStyle="1" w:styleId="26">
    <w:name w:val="订制一级标题"/>
    <w:basedOn w:val="1"/>
    <w:link w:val="27"/>
    <w:qFormat/>
    <w:uiPriority w:val="2"/>
    <w:pPr>
      <w:ind w:firstLine="640"/>
    </w:pPr>
    <w:rPr>
      <w:rFonts w:ascii="黑体" w:hAnsi="Calibri" w:eastAsia="黑体" w:cs="Times New Roman"/>
      <w:sz w:val="32"/>
      <w:szCs w:val="32"/>
    </w:rPr>
  </w:style>
  <w:style w:type="character" w:customStyle="1" w:styleId="27">
    <w:name w:val="订制一级标题 Char"/>
    <w:link w:val="26"/>
    <w:qFormat/>
    <w:uiPriority w:val="2"/>
    <w:rPr>
      <w:rFonts w:ascii="黑体" w:hAnsi="Calibri" w:eastAsia="黑体" w:cs="Times New Roman"/>
      <w:sz w:val="32"/>
      <w:szCs w:val="32"/>
    </w:rPr>
  </w:style>
  <w:style w:type="paragraph" w:customStyle="1" w:styleId="28">
    <w:name w:val="订制落款"/>
    <w:basedOn w:val="1"/>
    <w:link w:val="29"/>
    <w:qFormat/>
    <w:uiPriority w:val="5"/>
    <w:pPr>
      <w:ind w:firstLine="3200" w:firstLineChars="1000"/>
      <w:jc w:val="center"/>
    </w:pPr>
    <w:rPr>
      <w:rFonts w:ascii="仿宋_GB2312" w:hAnsi="Calibri" w:eastAsia="仿宋_GB2312" w:cs="Times New Roman"/>
      <w:sz w:val="32"/>
      <w:szCs w:val="32"/>
    </w:rPr>
  </w:style>
  <w:style w:type="character" w:customStyle="1" w:styleId="29">
    <w:name w:val="订制落款 Char"/>
    <w:link w:val="28"/>
    <w:qFormat/>
    <w:uiPriority w:val="5"/>
    <w:rPr>
      <w:rFonts w:ascii="仿宋_GB2312" w:hAnsi="Calibri" w:eastAsia="仿宋_GB2312" w:cs="Times New Roman"/>
      <w:sz w:val="32"/>
      <w:szCs w:val="32"/>
    </w:rPr>
  </w:style>
  <w:style w:type="paragraph" w:customStyle="1" w:styleId="30">
    <w:name w:val="订制附件一行"/>
    <w:basedOn w:val="1"/>
    <w:link w:val="31"/>
    <w:qFormat/>
    <w:uiPriority w:val="7"/>
    <w:pPr>
      <w:ind w:firstLine="1600" w:firstLineChars="500"/>
    </w:pPr>
    <w:rPr>
      <w:rFonts w:ascii="仿宋_GB2312" w:hAnsi="Calibri" w:eastAsia="仿宋_GB2312" w:cs="Times New Roman"/>
      <w:sz w:val="32"/>
      <w:szCs w:val="32"/>
    </w:rPr>
  </w:style>
  <w:style w:type="character" w:customStyle="1" w:styleId="31">
    <w:name w:val="订制附件一行 Char"/>
    <w:link w:val="30"/>
    <w:qFormat/>
    <w:uiPriority w:val="7"/>
    <w:rPr>
      <w:rFonts w:ascii="仿宋_GB2312" w:hAnsi="Calibri" w:eastAsia="仿宋_GB2312" w:cs="Times New Roman"/>
      <w:sz w:val="32"/>
      <w:szCs w:val="32"/>
    </w:rPr>
  </w:style>
  <w:style w:type="paragraph" w:customStyle="1" w:styleId="32">
    <w:name w:val="BodyText"/>
    <w:basedOn w:val="1"/>
    <w:next w:val="33"/>
    <w:qFormat/>
    <w:uiPriority w:val="0"/>
    <w:pPr>
      <w:spacing w:line="360" w:lineRule="auto"/>
      <w:textAlignment w:val="baseline"/>
    </w:pPr>
    <w:rPr>
      <w:rFonts w:ascii="Calibri" w:hAnsi="Calibri" w:eastAsia="宋体"/>
      <w:sz w:val="24"/>
      <w:szCs w:val="24"/>
    </w:rPr>
  </w:style>
  <w:style w:type="paragraph" w:customStyle="1" w:styleId="33">
    <w:name w:val="UserStyle_0"/>
    <w:next w:val="1"/>
    <w:qFormat/>
    <w:uiPriority w:val="0"/>
    <w:pPr>
      <w:jc w:val="both"/>
      <w:textAlignment w:val="baseline"/>
    </w:pPr>
    <w:rPr>
      <w:rFonts w:ascii="Calibri" w:hAnsi="Calibri" w:eastAsia="宋体" w:cstheme="minorBidi"/>
      <w:sz w:val="21"/>
      <w:szCs w:val="22"/>
      <w:lang w:val="en-US" w:eastAsia="zh-CN" w:bidi="ar-SA"/>
    </w:rPr>
  </w:style>
  <w:style w:type="paragraph" w:customStyle="1" w:styleId="34">
    <w:name w:val="NormalIndent"/>
    <w:basedOn w:val="1"/>
    <w:qFormat/>
    <w:uiPriority w:val="0"/>
    <w:pPr>
      <w:ind w:firstLine="420"/>
      <w:textAlignment w:val="baseline"/>
    </w:pPr>
  </w:style>
  <w:style w:type="paragraph" w:customStyle="1" w:styleId="35">
    <w:name w:val="contentfont"/>
    <w:basedOn w:val="1"/>
    <w:qFormat/>
    <w:uiPriority w:val="0"/>
    <w:pPr>
      <w:widowControl/>
      <w:spacing w:before="100" w:beforeAutospacing="1" w:after="100" w:afterAutospacing="1"/>
      <w:jc w:val="left"/>
    </w:pPr>
    <w:rPr>
      <w:rFonts w:ascii="宋体" w:hAnsi="宋体" w:cs="宋体"/>
      <w:kern w:val="0"/>
      <w:sz w:val="24"/>
    </w:rPr>
  </w:style>
  <w:style w:type="character" w:customStyle="1" w:styleId="36">
    <w:name w:val="批注框文本 Char"/>
    <w:basedOn w:val="15"/>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2150</Words>
  <Characters>2169</Characters>
  <Lines>12</Lines>
  <Paragraphs>3</Paragraphs>
  <TotalTime>3</TotalTime>
  <ScaleCrop>false</ScaleCrop>
  <LinksUpToDate>false</LinksUpToDate>
  <CharactersWithSpaces>2187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2020-06-21T07:40:00Z</dcterms:created>
  <dc:creator>somebody</dc:creator>
  <cp:lastModifiedBy>沧海之畔</cp:lastModifiedBy>
  <cp:lastPrinted>2024-04-30T23:17:00Z</cp:lastPrinted>
  <dcterms:modified xsi:type="dcterms:W3CDTF">2025-04-24T12:24:46Z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eyJoZGlkIjoiYzE1MTJiMTNiNmY3NjNkZGM3YjU3OWUyZDk1OWVkZDkiLCJ1c2VySWQiOiIxNjg5OTk3NDY5In0=</vt:lpwstr>
  </property>
  <property fmtid="{D5CDD505-2E9C-101B-9397-08002B2CF9AE}" pid="4" name="ICV">
    <vt:lpwstr>0208DE1D16414C54A77E7D632409BA8A_13</vt:lpwstr>
  </property>
</Properties>
</file>