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after="0" w:line="560" w:lineRule="exact"/>
        <w:rPr>
          <w:rFonts w:ascii="黑体" w:hAnsi="黑体" w:eastAsia="黑体" w:cs="方正小标宋简体"/>
          <w:sz w:val="32"/>
          <w:szCs w:val="32"/>
        </w:rPr>
      </w:pPr>
      <w:r>
        <w:rPr>
          <w:rFonts w:hint="eastAsia" w:ascii="黑体" w:hAnsi="黑体" w:eastAsia="黑体" w:cs="方正小标宋简体"/>
          <w:sz w:val="32"/>
          <w:szCs w:val="32"/>
        </w:rPr>
        <w:t>附件：</w:t>
      </w:r>
    </w:p>
    <w:p>
      <w:pPr>
        <w:widowControl w:val="0"/>
        <w:autoSpaceDE w:val="0"/>
        <w:autoSpaceDN w:val="0"/>
        <w:spacing w:after="0" w:line="560" w:lineRule="exact"/>
        <w:rPr>
          <w:rFonts w:hint="eastAsia" w:ascii="黑体" w:hAnsi="黑体" w:eastAsia="黑体" w:cs="方正小标宋简体"/>
          <w:sz w:val="32"/>
          <w:szCs w:val="32"/>
        </w:rPr>
      </w:pPr>
    </w:p>
    <w:p>
      <w:pPr>
        <w:widowControl w:val="0"/>
        <w:autoSpaceDE w:val="0"/>
        <w:autoSpaceDN w:val="0"/>
        <w:spacing w:after="0"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关于申报2023年度中国循环经济协会科学技术奖的通知</w:t>
      </w:r>
    </w:p>
    <w:p>
      <w:pPr>
        <w:widowControl w:val="0"/>
        <w:autoSpaceDE w:val="0"/>
        <w:autoSpaceDN w:val="0"/>
        <w:spacing w:after="0"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中循协发〔2023〕7号</w:t>
      </w:r>
    </w:p>
    <w:p>
      <w:pPr>
        <w:widowControl w:val="0"/>
        <w:autoSpaceDE w:val="0"/>
        <w:autoSpaceDN w:val="0"/>
        <w:spacing w:after="0" w:line="560" w:lineRule="exact"/>
        <w:jc w:val="both"/>
        <w:rPr>
          <w:rFonts w:hint="eastAsia" w:ascii="仿宋_GB2312" w:hAnsi="仿宋_GB2312" w:eastAsia="仿宋_GB2312" w:cs="仿宋_GB2312"/>
          <w:sz w:val="32"/>
          <w:szCs w:val="32"/>
        </w:rPr>
      </w:pPr>
    </w:p>
    <w:p>
      <w:pPr>
        <w:widowControl w:val="0"/>
        <w:autoSpaceDE w:val="0"/>
        <w:autoSpaceDN w:val="0"/>
        <w:spacing w:after="0" w:line="560" w:lineRule="exact"/>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各有关单位：</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表彰和奖励在我国循环经济应用研究领域作出突出贡献的组织和个人，持续推动循环经济领域技术进步，促进科技成果转化与应用，本着公平、公正、公开的原则，做好2023年度中国循环经济协会科学技术奖的申报工作，根据《中国循环经济协会科学技术奖章程》有关要求，现将2023年度协会科技奖申报工作有关事项通知如下：</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一、奖励范围</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协会已开展十二届奖励工作，受理申报项目千余项，授奖项目近五百项，其中有6项协会科技奖项目荣获国家科技奖。协会科技奖奖励范围包括：对循环经济领域的研究具有深远影响的；对转变传统经济增长模式和促进产业技术进步影响面广、经济效益显著的共性技术、前瞻性技术与高新技术的研究成果，但不包括涉及国防、国家安全领域的保密项目，且应用时间一年以上。</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二、奖项设置及要求</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（一）奖项设置</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协会科学技术奖每年评选一次，下设三个子奖项：</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1.科技进步奖：包括技术开发类和社会公益类，奖励等级分为一等奖、二等奖、三等奖；</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2.优秀创新人才奖：不分奖励等级；</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3.国际合作奖：不分奖励等级。</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（二）申报要求</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1.科技进步奖：授予全国从事循环经济生产、科研、设计、应用等的组织和个人，候选项目应具备下列条件：</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开发类主要针对循环经济领域在科学研究和技术开发等活动中，完成具有重大市场价值和技术创新的产品、技术、工艺、材料、设计，及在促进新成果的转化和推广应用、高新技术产业化方面作出重要贡献，技术创新性突出，服务国家重大战略，推动行业科技进步作用明显，并创造显著经济效益的项目。</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公益类主要针对循环经济领域在标准、计量、政策、管理、著作、信息、模式等科学技术基础性工作方面取得重大成果及其推广应用，服务国家重大战略，推动行业科技进步作用明显，并创造显著社会效益的项目。</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秀创新人才奖：授予长期从事循环经济科技创新工作，在循环经济技术创新、理论创新、管理创新方面取得了突破，创新成果产生了明显的经济、社会或环境效益，为循环经济高质量发展做出突出贡献的个人。候选人应当符合下列条件之一：</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（1）在循环经济技术创新工作中具有对核心关键技术攻关的创新能力，工作成效显著，并取得多项科技成果，技术水平达到国际先进或国内领先水平，对循环经济科技进步有重大推动作用。</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（2）在循环经济理论、模式研究理论研究中具有创新研究能力和创造性成果，具备重大的实践指导价值，创新成果得到国内外公认。</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循环经济科技管理工作中，提出或引进并实施新的现代化科学管理理论和措施，使所在单位取得显著的经济、社会或环境效益；或在决策、管理上有突出的成就，对循环经济科技进步做出卓越贡献，在行业中享有较高的威望和声誉的科技管理人员。</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3.国际合作奖：授予在我国循环经济领域最具代表性的国际合作实践项目，旨在推广已经在中国境内示范或推广的解决方案。国际合作奖授奖项目总数每年不超过1个。候选项目应符合下列条件之一：</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（1）同中国的公民或者组织合作研究、开发，在循环经济领域取得重大科学技术成果的；</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（2）向中国的公民或者组织传授循环经济领域先进科学技术、培养人才，成效特别显著的；</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（3）为促进中国与外国循环经济领域的国际科学技术交流与合作，做出重要贡献的。</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（三）申报方式</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本年度协会科技奖申报方式采取自由申报的方式，候选项目或候选人可自由申报。</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（四）授奖人员和单位数量要求</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进步奖对单项授奖人数和授奖单位数实行限额管理，其中一等奖主要完成人数不超过15人，主要完成单位不超过10个；二等奖主要完成人数不超过10人，主要完成单位不超过7个；三等奖主要完成人数不超过9人，主要完成单位不超过7个。申报项目的完成人数和单位数需与申报等级对应，申报填写的完成人和单位数量超出最终授奖等级对应的数量时，自动取排序靠前的完成人和完成单位。</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（五）申报其他要求</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1.同一候选人只能选择一个子奖项进行申报。</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2.同一技术内容项目，不得在同一年度同时参加社会、部委、地方省市等其他同类奖项的申报，已获往届科技奖的不得重复申报。</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3.通过上一年度协会科技奖初评的项目不得申报本年度科技奖，再次申报需间隔1年。</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4.对评审专家组评选等级的异议不予受理。</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三、材料填写及提交要求</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协会科技奖材料填写工作采取网络填报和书面材料相结合的方式，不接受单独纸质书面材料的申报。中国循环经济协会直属会员单位、循环经济领域相关的科研院所、大专院校、企事业单位等可直接申报。</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（一）网络填报</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申报入口请登录协会官网（www.chinacace.org），在首页科技标准版块的科技奖励进入申报系统, 项目第一完成单位负责进行注册，并按照奖励申报系统的有关要求，客观、如实、准确、完整的完成填写、提交、生成申报书和上传盖章和签字的申报书及附件材料。</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（二）书面材料提交</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1.纸质申报书及附件装订成册，一式一份，申报书为系统生成的下载版本，在生成的申报书的每个完成单位情况表指定位置盖章及每个完成人情况表指定位置签字。</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2.打印纸张为A4规格纸张，双面打印，竖向左侧装订，以申报书原有第一页作为首页，请勿另加封面。</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3.提交的书面申报材料仅用于备案存档，一律不予退回，申报单位如需留档，请自行备份。</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四、申报时间要求</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（一）网络填报截止时间</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申报系统将于2023年2月13日正式开通，申报截至日期为2023年6月30日中午12:00，请在系统开放期间完成线上申报、提交、申报书生成下载和附件上传等工作，逾期系统将无法填报。</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（二）纸质申报材料报送时间</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请于2023年6月30日前将纸质申报材料报送至协会科技标准部，逾期不予受理。</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五、申报及评审程序</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（一）网络填报、提交申报材料。</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（二）形式审查。</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（三）受理项目公示。</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（四）初评评审。</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（五）初评结果公示。</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（六）初评通过项目考察、异议处理。</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（七）终评评审。</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（八）终评结果公示、异议处理。</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（九）发布奖励通知、授奖。</w:t>
      </w:r>
    </w:p>
    <w:p>
      <w:pPr>
        <w:widowControl w:val="0"/>
        <w:autoSpaceDE w:val="0"/>
        <w:autoSpaceDN w:val="0"/>
        <w:spacing w:after="0"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六、联系方式</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联系人：牛旭东、吕征宇</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话：010-88334644-865/859</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址：北京市西城区阜外大街1号四川大厦东塔楼28层，中国循环经济协会-科技标准部（邮编：100037）</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箱：kjbz@chinacace.org</w:t>
      </w: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  站：www.chinacace.org</w:t>
      </w:r>
    </w:p>
    <w:p>
      <w:pPr>
        <w:widowControl w:val="0"/>
        <w:autoSpaceDE w:val="0"/>
        <w:autoSpaceDN w:val="0"/>
        <w:spacing w:after="0" w:line="560" w:lineRule="exact"/>
        <w:ind w:firstLine="640" w:firstLineChars="200"/>
        <w:jc w:val="both"/>
        <w:rPr>
          <w:rFonts w:ascii="仿宋_GB2312" w:hAnsi="仿宋_GB2312" w:eastAsia="仿宋_GB2312" w:cs="仿宋_GB2312"/>
          <w:sz w:val="32"/>
          <w:szCs w:val="32"/>
        </w:rPr>
      </w:pPr>
    </w:p>
    <w:p>
      <w:pPr>
        <w:widowControl w:val="0"/>
        <w:autoSpaceDE w:val="0"/>
        <w:autoSpaceDN w:val="0"/>
        <w:spacing w:after="0" w:line="560" w:lineRule="exact"/>
        <w:ind w:firstLine="640" w:firstLineChars="200"/>
        <w:jc w:val="both"/>
        <w:rPr>
          <w:rFonts w:ascii="仿宋_GB2312" w:hAnsi="仿宋_GB2312" w:eastAsia="仿宋_GB2312" w:cs="仿宋_GB2312"/>
          <w:sz w:val="32"/>
          <w:szCs w:val="32"/>
        </w:rPr>
      </w:pPr>
    </w:p>
    <w:p>
      <w:pPr>
        <w:widowControl w:val="0"/>
        <w:autoSpaceDE w:val="0"/>
        <w:autoSpaceDN w:val="0"/>
        <w:spacing w:after="0" w:line="560" w:lineRule="exact"/>
        <w:ind w:firstLine="640" w:firstLineChars="200"/>
        <w:jc w:val="both"/>
        <w:rPr>
          <w:rFonts w:hint="eastAsia" w:ascii="仿宋_GB2312" w:hAnsi="仿宋_GB2312" w:eastAsia="仿宋_GB2312" w:cs="仿宋_GB2312"/>
          <w:sz w:val="32"/>
          <w:szCs w:val="32"/>
        </w:rPr>
      </w:pPr>
    </w:p>
    <w:p>
      <w:pPr>
        <w:widowControl w:val="0"/>
        <w:autoSpaceDE w:val="0"/>
        <w:autoSpaceDN w:val="0"/>
        <w:spacing w:after="0"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中国循环经济协会</w:t>
      </w:r>
    </w:p>
    <w:p>
      <w:pPr>
        <w:widowControl w:val="0"/>
        <w:wordWrap w:val="0"/>
        <w:autoSpaceDE w:val="0"/>
        <w:autoSpaceDN w:val="0"/>
        <w:spacing w:after="0"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2023年2月2日 </w:t>
      </w:r>
      <w:r>
        <w:rPr>
          <w:rFonts w:ascii="仿宋_GB2312" w:hAnsi="仿宋_GB2312" w:eastAsia="仿宋_GB2312" w:cs="仿宋_GB2312"/>
          <w:sz w:val="32"/>
          <w:szCs w:val="32"/>
        </w:rPr>
        <w:t xml:space="preserve">  </w:t>
      </w: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865" cy="26479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0.85pt;width:4.95pt;mso-position-horizontal:center;mso-position-horizontal-relative:margin;mso-wrap-style:none;z-index:251659264;mso-width-relative:page;mso-height-relative:page;" filled="f" stroked="f" coordsize="21600,21600" o:gfxdata="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FYwUV0QAAAAIBAAAPAAAAAAAAAAEAIAAAACIAAABkcnMvZG93bnJldi54bWxQSwEC&#10;FAAUAAAACACHTuJA+mfa/vsBAAADBAAADgAAAAAAAAABACAAAAAgAQAAZHJzL2Uyb0RvYy54bWxQ&#10;SwUGAAAAAAYABgBZAQAAj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ODMwYmI0ZjhkY2YyMWRjNTljZGM0ODljZDQxOWEifQ=="/>
  </w:docVars>
  <w:rsids>
    <w:rsidRoot w:val="00D31D50"/>
    <w:rsid w:val="000135E1"/>
    <w:rsid w:val="00230497"/>
    <w:rsid w:val="00323B43"/>
    <w:rsid w:val="00382714"/>
    <w:rsid w:val="003C1835"/>
    <w:rsid w:val="003D37D8"/>
    <w:rsid w:val="003E4252"/>
    <w:rsid w:val="00426133"/>
    <w:rsid w:val="004358AB"/>
    <w:rsid w:val="004F4997"/>
    <w:rsid w:val="00700EBE"/>
    <w:rsid w:val="00705FF4"/>
    <w:rsid w:val="00776BC7"/>
    <w:rsid w:val="008B7726"/>
    <w:rsid w:val="00D31D50"/>
    <w:rsid w:val="00F36F46"/>
    <w:rsid w:val="00F371EE"/>
    <w:rsid w:val="00F667ED"/>
    <w:rsid w:val="00F81680"/>
    <w:rsid w:val="03D746CC"/>
    <w:rsid w:val="08D8516E"/>
    <w:rsid w:val="0B4B60CB"/>
    <w:rsid w:val="0C02298B"/>
    <w:rsid w:val="10A37AB8"/>
    <w:rsid w:val="10DC65AB"/>
    <w:rsid w:val="120F5830"/>
    <w:rsid w:val="123C49C0"/>
    <w:rsid w:val="14FB646C"/>
    <w:rsid w:val="16247C5B"/>
    <w:rsid w:val="17CB6EEE"/>
    <w:rsid w:val="1B0B42F7"/>
    <w:rsid w:val="1EB9310B"/>
    <w:rsid w:val="21EB7868"/>
    <w:rsid w:val="23BE3486"/>
    <w:rsid w:val="24AD0413"/>
    <w:rsid w:val="2784473F"/>
    <w:rsid w:val="28217189"/>
    <w:rsid w:val="2A957BBA"/>
    <w:rsid w:val="2C531ADF"/>
    <w:rsid w:val="2FE92006"/>
    <w:rsid w:val="351849C1"/>
    <w:rsid w:val="38797524"/>
    <w:rsid w:val="39AC3D92"/>
    <w:rsid w:val="3AA87B00"/>
    <w:rsid w:val="3D2A703F"/>
    <w:rsid w:val="3DF97023"/>
    <w:rsid w:val="41F16E8B"/>
    <w:rsid w:val="42BF647C"/>
    <w:rsid w:val="45A32084"/>
    <w:rsid w:val="45A34177"/>
    <w:rsid w:val="46115CF7"/>
    <w:rsid w:val="4B784F52"/>
    <w:rsid w:val="4DCD7C9F"/>
    <w:rsid w:val="4F74239C"/>
    <w:rsid w:val="506B7C43"/>
    <w:rsid w:val="50D51D5C"/>
    <w:rsid w:val="514D7CC5"/>
    <w:rsid w:val="52483D98"/>
    <w:rsid w:val="52783526"/>
    <w:rsid w:val="54B60477"/>
    <w:rsid w:val="58B6516E"/>
    <w:rsid w:val="58F06F08"/>
    <w:rsid w:val="5C0E7FA6"/>
    <w:rsid w:val="5C15745E"/>
    <w:rsid w:val="622F605F"/>
    <w:rsid w:val="64393E88"/>
    <w:rsid w:val="64AF1B57"/>
    <w:rsid w:val="65E505B2"/>
    <w:rsid w:val="665A1299"/>
    <w:rsid w:val="66B01A27"/>
    <w:rsid w:val="672346DD"/>
    <w:rsid w:val="69555099"/>
    <w:rsid w:val="6AA25F63"/>
    <w:rsid w:val="6D981C1F"/>
    <w:rsid w:val="7638150A"/>
    <w:rsid w:val="7A340FB2"/>
    <w:rsid w:val="7AA53BCD"/>
    <w:rsid w:val="7B892ED9"/>
    <w:rsid w:val="7BFA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rPr>
  </w:style>
  <w:style w:type="character" w:customStyle="1" w:styleId="8">
    <w:name w:val="页眉 Char"/>
    <w:basedOn w:val="6"/>
    <w:link w:val="3"/>
    <w:qFormat/>
    <w:uiPriority w:val="99"/>
    <w:rPr>
      <w:rFonts w:ascii="Tahoma" w:hAnsi="Tahoma"/>
      <w:sz w:val="18"/>
      <w:szCs w:val="18"/>
    </w:rPr>
  </w:style>
  <w:style w:type="character" w:customStyle="1" w:styleId="9">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2428</Words>
  <Characters>2550</Characters>
  <Lines>18</Lines>
  <Paragraphs>5</Paragraphs>
  <TotalTime>0</TotalTime>
  <ScaleCrop>false</ScaleCrop>
  <LinksUpToDate>false</LinksUpToDate>
  <CharactersWithSpaces>2562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2023-02-21T07:24:00Z</dcterms:created>
  <dc:creator>wangmei</dc:creator>
  <cp:lastModifiedBy>飘</cp:lastModifiedBy>
  <cp:lastPrinted>2023-02-20T07:09:00Z</cp:lastPrinted>
  <dcterms:modified xsi:type="dcterms:W3CDTF">2023-02-22T02:47:21Z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055D3988FDDD463BA7E5FA1EECA626F3</vt:lpwstr>
  </property>
</Properties>
</file>